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4A9B" w14:textId="77777777" w:rsidR="00BF1438" w:rsidRDefault="00BF1438">
      <w:pPr>
        <w:jc w:val="center"/>
        <w:rPr>
          <w:b/>
          <w:sz w:val="28"/>
        </w:rPr>
      </w:pPr>
      <w:r>
        <w:rPr>
          <w:b/>
          <w:sz w:val="28"/>
        </w:rPr>
        <w:t xml:space="preserve">Vergabekriterien für das Qualitätsförderungsprogramm </w:t>
      </w:r>
    </w:p>
    <w:p w14:paraId="6166EF07" w14:textId="77777777" w:rsidR="00BF1438" w:rsidRDefault="00BF1438" w:rsidP="004F4D26">
      <w:pPr>
        <w:spacing w:after="600"/>
        <w:jc w:val="center"/>
        <w:rPr>
          <w:b/>
          <w:sz w:val="28"/>
        </w:rPr>
      </w:pPr>
      <w:r>
        <w:rPr>
          <w:b/>
          <w:sz w:val="28"/>
        </w:rPr>
        <w:t>des Tiroler Gesundheitsfonds</w:t>
      </w:r>
      <w:r w:rsidR="001921D1">
        <w:rPr>
          <w:b/>
          <w:sz w:val="28"/>
        </w:rPr>
        <w:t xml:space="preserve"> </w:t>
      </w:r>
    </w:p>
    <w:p w14:paraId="44ECCDC3" w14:textId="77777777" w:rsidR="00BF1438" w:rsidRDefault="00BF1438" w:rsidP="004F4D26">
      <w:pPr>
        <w:numPr>
          <w:ilvl w:val="0"/>
          <w:numId w:val="1"/>
        </w:numPr>
        <w:tabs>
          <w:tab w:val="clear" w:pos="340"/>
          <w:tab w:val="clear" w:pos="680"/>
          <w:tab w:val="clear" w:pos="1021"/>
        </w:tabs>
        <w:spacing w:after="240"/>
        <w:ind w:left="425" w:hanging="425"/>
        <w:rPr>
          <w:sz w:val="24"/>
        </w:rPr>
      </w:pPr>
      <w:r>
        <w:rPr>
          <w:sz w:val="24"/>
        </w:rPr>
        <w:t xml:space="preserve">Ansuchen können nur von Fondskrankenanstalten </w:t>
      </w:r>
      <w:r w:rsidR="00E90698">
        <w:rPr>
          <w:sz w:val="24"/>
        </w:rPr>
        <w:t xml:space="preserve">oder Trägern gestellt werden. </w:t>
      </w:r>
      <w:r>
        <w:rPr>
          <w:sz w:val="24"/>
        </w:rPr>
        <w:t xml:space="preserve">Sie bedürfen </w:t>
      </w:r>
      <w:r w:rsidR="005101EC">
        <w:rPr>
          <w:sz w:val="24"/>
        </w:rPr>
        <w:t>des Einverständnisses</w:t>
      </w:r>
      <w:r>
        <w:rPr>
          <w:sz w:val="24"/>
        </w:rPr>
        <w:t xml:space="preserve"> der QSK des Hauses sowie einer Stellun</w:t>
      </w:r>
      <w:r>
        <w:rPr>
          <w:sz w:val="24"/>
        </w:rPr>
        <w:t>g</w:t>
      </w:r>
      <w:r>
        <w:rPr>
          <w:sz w:val="24"/>
        </w:rPr>
        <w:t>nahme der kollegialen Führung</w:t>
      </w:r>
      <w:r w:rsidR="00D0452B">
        <w:rPr>
          <w:sz w:val="24"/>
        </w:rPr>
        <w:t xml:space="preserve"> bzw. der Geschäftsführung der Tirol Kliniken Holding</w:t>
      </w:r>
      <w:r>
        <w:rPr>
          <w:sz w:val="24"/>
        </w:rPr>
        <w:t xml:space="preserve"> oder</w:t>
      </w:r>
      <w:r w:rsidR="00EF3E39">
        <w:rPr>
          <w:sz w:val="24"/>
        </w:rPr>
        <w:t xml:space="preserve"> des</w:t>
      </w:r>
      <w:r>
        <w:rPr>
          <w:sz w:val="24"/>
        </w:rPr>
        <w:t xml:space="preserve"> Träger</w:t>
      </w:r>
      <w:r w:rsidR="00EF3E39">
        <w:rPr>
          <w:sz w:val="24"/>
        </w:rPr>
        <w:t>s</w:t>
      </w:r>
      <w:r>
        <w:rPr>
          <w:sz w:val="24"/>
        </w:rPr>
        <w:t>.</w:t>
      </w:r>
      <w:r>
        <w:rPr>
          <w:sz w:val="24"/>
        </w:rPr>
        <w:br/>
      </w:r>
      <w:r w:rsidR="00851A26">
        <w:rPr>
          <w:sz w:val="24"/>
        </w:rPr>
        <w:t>Weiteres</w:t>
      </w:r>
      <w:r>
        <w:rPr>
          <w:sz w:val="24"/>
        </w:rPr>
        <w:t xml:space="preserve"> können auch Projekte von der Qualitätssicherungskommission des TGF eing</w:t>
      </w:r>
      <w:r>
        <w:rPr>
          <w:sz w:val="24"/>
        </w:rPr>
        <w:t>e</w:t>
      </w:r>
      <w:r>
        <w:rPr>
          <w:sz w:val="24"/>
        </w:rPr>
        <w:t>bracht werden.</w:t>
      </w:r>
    </w:p>
    <w:p w14:paraId="4B9E9319" w14:textId="77777777" w:rsidR="00BF1438" w:rsidRPr="00F8381B" w:rsidRDefault="00BF1438" w:rsidP="004F4D26">
      <w:pPr>
        <w:numPr>
          <w:ilvl w:val="0"/>
          <w:numId w:val="1"/>
        </w:numPr>
        <w:tabs>
          <w:tab w:val="clear" w:pos="340"/>
          <w:tab w:val="clear" w:pos="680"/>
          <w:tab w:val="clear" w:pos="1021"/>
        </w:tabs>
        <w:spacing w:after="240"/>
        <w:ind w:left="425" w:hanging="425"/>
        <w:rPr>
          <w:sz w:val="24"/>
        </w:rPr>
      </w:pPr>
      <w:r>
        <w:rPr>
          <w:sz w:val="24"/>
        </w:rPr>
        <w:t>Projekte die</w:t>
      </w:r>
      <w:r w:rsidR="00342FB9">
        <w:rPr>
          <w:sz w:val="24"/>
        </w:rPr>
        <w:t>,</w:t>
      </w:r>
      <w:r>
        <w:rPr>
          <w:sz w:val="24"/>
        </w:rPr>
        <w:t xml:space="preserve"> nach der Einreichfrist einlangen oder unvollständig sind, können nicht bea</w:t>
      </w:r>
      <w:r>
        <w:rPr>
          <w:sz w:val="24"/>
        </w:rPr>
        <w:t>r</w:t>
      </w:r>
      <w:r w:rsidR="008D6D83">
        <w:rPr>
          <w:sz w:val="24"/>
        </w:rPr>
        <w:t xml:space="preserve">beitet werden. </w:t>
      </w:r>
    </w:p>
    <w:p w14:paraId="1D7DF715" w14:textId="77777777" w:rsidR="00BF1438" w:rsidRPr="00851A26" w:rsidRDefault="00580538" w:rsidP="004F4D26">
      <w:pPr>
        <w:numPr>
          <w:ilvl w:val="0"/>
          <w:numId w:val="1"/>
        </w:numPr>
        <w:tabs>
          <w:tab w:val="clear" w:pos="340"/>
          <w:tab w:val="clear" w:pos="680"/>
          <w:tab w:val="clear" w:pos="1021"/>
        </w:tabs>
        <w:spacing w:after="240"/>
        <w:ind w:left="425" w:hanging="425"/>
        <w:rPr>
          <w:strike/>
          <w:sz w:val="24"/>
        </w:rPr>
      </w:pPr>
      <w:r w:rsidRPr="00851A26">
        <w:rPr>
          <w:sz w:val="24"/>
        </w:rPr>
        <w:t xml:space="preserve">Neue </w:t>
      </w:r>
      <w:r w:rsidR="00BF1438" w:rsidRPr="00851A26">
        <w:rPr>
          <w:sz w:val="24"/>
        </w:rPr>
        <w:t>Projekte werden bevorzugt gefördert.</w:t>
      </w:r>
    </w:p>
    <w:p w14:paraId="047CA1AC" w14:textId="77777777" w:rsidR="001921D1" w:rsidRPr="00851A26" w:rsidRDefault="00BF1438" w:rsidP="00086E2D">
      <w:pPr>
        <w:numPr>
          <w:ilvl w:val="0"/>
          <w:numId w:val="1"/>
        </w:numPr>
        <w:tabs>
          <w:tab w:val="clear" w:pos="340"/>
          <w:tab w:val="clear" w:pos="680"/>
          <w:tab w:val="clear" w:pos="1021"/>
        </w:tabs>
        <w:spacing w:after="240"/>
        <w:ind w:left="425" w:hanging="425"/>
        <w:rPr>
          <w:sz w:val="24"/>
        </w:rPr>
      </w:pPr>
      <w:r w:rsidRPr="00851A26">
        <w:rPr>
          <w:sz w:val="24"/>
        </w:rPr>
        <w:t>Es werden</w:t>
      </w:r>
      <w:r w:rsidR="001921D1" w:rsidRPr="00851A26">
        <w:rPr>
          <w:sz w:val="24"/>
        </w:rPr>
        <w:t xml:space="preserve"> nur Projekte gefördert, die bevorzugt</w:t>
      </w:r>
      <w:r w:rsidRPr="00851A26">
        <w:rPr>
          <w:sz w:val="24"/>
        </w:rPr>
        <w:t xml:space="preserve"> </w:t>
      </w:r>
      <w:r w:rsidR="001921D1" w:rsidRPr="00851A26">
        <w:rPr>
          <w:sz w:val="24"/>
        </w:rPr>
        <w:t xml:space="preserve">die unmittelbare </w:t>
      </w:r>
      <w:proofErr w:type="gramStart"/>
      <w:r w:rsidR="001921D1" w:rsidRPr="00851A26">
        <w:rPr>
          <w:sz w:val="24"/>
        </w:rPr>
        <w:t>Patienten:innenversorung</w:t>
      </w:r>
      <w:proofErr w:type="gramEnd"/>
      <w:r w:rsidR="001921D1" w:rsidRPr="00851A26">
        <w:rPr>
          <w:sz w:val="24"/>
        </w:rPr>
        <w:t xml:space="preserve"> betreffen.</w:t>
      </w:r>
      <w:r w:rsidRPr="00851A26">
        <w:rPr>
          <w:sz w:val="24"/>
        </w:rPr>
        <w:t xml:space="preserve"> Geförderte Projekte müssen einen direkten Einfluss auf den Krankenhausalltag aufweisen. Nicht g</w:t>
      </w:r>
      <w:r w:rsidRPr="00851A26">
        <w:rPr>
          <w:sz w:val="24"/>
        </w:rPr>
        <w:t>e</w:t>
      </w:r>
      <w:r w:rsidRPr="00851A26">
        <w:rPr>
          <w:sz w:val="24"/>
        </w:rPr>
        <w:t>fö</w:t>
      </w:r>
      <w:r w:rsidR="001921D1" w:rsidRPr="00851A26">
        <w:rPr>
          <w:sz w:val="24"/>
        </w:rPr>
        <w:t>rdert werden Projekte mit ausschließlich</w:t>
      </w:r>
      <w:r w:rsidRPr="00851A26">
        <w:rPr>
          <w:sz w:val="24"/>
        </w:rPr>
        <w:t xml:space="preserve"> forschungsbezogenem Charakter.</w:t>
      </w:r>
      <w:r w:rsidR="001921D1" w:rsidRPr="00851A26">
        <w:rPr>
          <w:sz w:val="24"/>
        </w:rPr>
        <w:t xml:space="preserve"> </w:t>
      </w:r>
    </w:p>
    <w:p w14:paraId="3C52EA13" w14:textId="77777777" w:rsidR="00BF1438" w:rsidRPr="00EC360C" w:rsidRDefault="00AB72F5" w:rsidP="00CB17C1">
      <w:pPr>
        <w:numPr>
          <w:ilvl w:val="0"/>
          <w:numId w:val="1"/>
        </w:numPr>
        <w:tabs>
          <w:tab w:val="clear" w:pos="340"/>
          <w:tab w:val="clear" w:pos="680"/>
          <w:tab w:val="clear" w:pos="1021"/>
        </w:tabs>
        <w:spacing w:after="240"/>
        <w:ind w:left="425" w:hanging="425"/>
        <w:rPr>
          <w:sz w:val="24"/>
          <w:szCs w:val="24"/>
        </w:rPr>
      </w:pPr>
      <w:r w:rsidRPr="00EF3E39">
        <w:rPr>
          <w:sz w:val="24"/>
        </w:rPr>
        <w:t>Für Projekte, die eine Förderung von Personalgehältern beinhalten, ist eine schriftliche Stellungnahme</w:t>
      </w:r>
      <w:r w:rsidRPr="00EC360C">
        <w:rPr>
          <w:sz w:val="24"/>
          <w:szCs w:val="24"/>
        </w:rPr>
        <w:t xml:space="preserve"> der Kollegialen</w:t>
      </w:r>
      <w:r w:rsidR="00D0452B">
        <w:rPr>
          <w:sz w:val="24"/>
          <w:szCs w:val="24"/>
        </w:rPr>
        <w:t xml:space="preserve"> Führung beizulegen, in der zugesichert wird, dass bei </w:t>
      </w:r>
      <w:r w:rsidRPr="00EC360C">
        <w:rPr>
          <w:sz w:val="24"/>
          <w:szCs w:val="24"/>
        </w:rPr>
        <w:t>pos</w:t>
      </w:r>
      <w:r w:rsidRPr="00EC360C">
        <w:rPr>
          <w:sz w:val="24"/>
          <w:szCs w:val="24"/>
        </w:rPr>
        <w:t>i</w:t>
      </w:r>
      <w:r w:rsidRPr="00EC360C">
        <w:rPr>
          <w:sz w:val="24"/>
          <w:szCs w:val="24"/>
        </w:rPr>
        <w:t>tiver Evaluierung des Projektes desselben mit Übernahme der Personalk</w:t>
      </w:r>
      <w:r w:rsidR="00D0452B">
        <w:rPr>
          <w:sz w:val="24"/>
          <w:szCs w:val="24"/>
        </w:rPr>
        <w:t xml:space="preserve">osten weitergeführt </w:t>
      </w:r>
      <w:r w:rsidRPr="00EC360C">
        <w:rPr>
          <w:sz w:val="24"/>
          <w:szCs w:val="24"/>
        </w:rPr>
        <w:t>wird.</w:t>
      </w:r>
      <w:r w:rsidR="00E83398" w:rsidRPr="00EC360C">
        <w:rPr>
          <w:sz w:val="24"/>
          <w:szCs w:val="24"/>
        </w:rPr>
        <w:t xml:space="preserve"> </w:t>
      </w:r>
      <w:r w:rsidR="005A4808" w:rsidRPr="00851A26">
        <w:rPr>
          <w:sz w:val="24"/>
          <w:szCs w:val="24"/>
        </w:rPr>
        <w:t>Interne Personalkosten werden nach verfügbaren Mitteln bis zu maximal 50</w:t>
      </w:r>
      <w:r w:rsidR="00342FB9">
        <w:rPr>
          <w:sz w:val="24"/>
          <w:szCs w:val="24"/>
        </w:rPr>
        <w:t xml:space="preserve"> </w:t>
      </w:r>
      <w:r w:rsidR="005A4808" w:rsidRPr="00851A26">
        <w:rPr>
          <w:sz w:val="24"/>
          <w:szCs w:val="24"/>
        </w:rPr>
        <w:t xml:space="preserve">% gefördert. </w:t>
      </w:r>
      <w:r w:rsidR="00E83398" w:rsidRPr="00851A26">
        <w:rPr>
          <w:sz w:val="24"/>
          <w:szCs w:val="24"/>
        </w:rPr>
        <w:t>Ausfallzeiten der Mitarbeiter</w:t>
      </w:r>
      <w:r w:rsidR="00E84E07" w:rsidRPr="00851A26">
        <w:rPr>
          <w:sz w:val="24"/>
          <w:szCs w:val="24"/>
        </w:rPr>
        <w:t xml:space="preserve"> und Mitarbe</w:t>
      </w:r>
      <w:r w:rsidR="00E84E07" w:rsidRPr="00851A26">
        <w:rPr>
          <w:sz w:val="24"/>
          <w:szCs w:val="24"/>
        </w:rPr>
        <w:t>i</w:t>
      </w:r>
      <w:r w:rsidR="00E84E07" w:rsidRPr="00851A26">
        <w:rPr>
          <w:sz w:val="24"/>
          <w:szCs w:val="24"/>
        </w:rPr>
        <w:t>terinnen,</w:t>
      </w:r>
      <w:r w:rsidR="00E83398" w:rsidRPr="00851A26">
        <w:rPr>
          <w:sz w:val="24"/>
          <w:szCs w:val="24"/>
        </w:rPr>
        <w:t xml:space="preserve"> die durch Teilnahme an Schulungen</w:t>
      </w:r>
      <w:r w:rsidR="00E83398" w:rsidRPr="00EC360C">
        <w:rPr>
          <w:sz w:val="24"/>
          <w:szCs w:val="24"/>
        </w:rPr>
        <w:t xml:space="preserve"> entstehen </w:t>
      </w:r>
      <w:r w:rsidR="006D6C86" w:rsidRPr="00EC360C">
        <w:rPr>
          <w:sz w:val="24"/>
          <w:szCs w:val="24"/>
        </w:rPr>
        <w:t>dürfen in der Koste</w:t>
      </w:r>
      <w:r w:rsidR="006D6C86" w:rsidRPr="00EC360C">
        <w:rPr>
          <w:sz w:val="24"/>
          <w:szCs w:val="24"/>
        </w:rPr>
        <w:t>n</w:t>
      </w:r>
      <w:r w:rsidR="006D6C86" w:rsidRPr="00EC360C">
        <w:rPr>
          <w:sz w:val="24"/>
          <w:szCs w:val="24"/>
        </w:rPr>
        <w:t>kalkulation des Projektes nicht eingesetzt werden</w:t>
      </w:r>
      <w:r w:rsidR="00CB17C1">
        <w:rPr>
          <w:sz w:val="24"/>
          <w:szCs w:val="24"/>
        </w:rPr>
        <w:t>.</w:t>
      </w:r>
    </w:p>
    <w:p w14:paraId="53EAA348" w14:textId="77777777" w:rsidR="00BF1438" w:rsidRPr="00CB17C1" w:rsidRDefault="00BF1438" w:rsidP="00CB17C1">
      <w:pPr>
        <w:numPr>
          <w:ilvl w:val="0"/>
          <w:numId w:val="1"/>
        </w:numPr>
        <w:tabs>
          <w:tab w:val="clear" w:pos="340"/>
          <w:tab w:val="clear" w:pos="680"/>
          <w:tab w:val="clear" w:pos="1021"/>
        </w:tabs>
        <w:spacing w:after="240"/>
        <w:ind w:left="425" w:hanging="425"/>
        <w:rPr>
          <w:sz w:val="24"/>
        </w:rPr>
      </w:pPr>
      <w:r w:rsidRPr="00AB72F5">
        <w:rPr>
          <w:sz w:val="24"/>
          <w:szCs w:val="24"/>
        </w:rPr>
        <w:t xml:space="preserve">Das Projekt </w:t>
      </w:r>
      <w:r w:rsidR="00EF3E39">
        <w:rPr>
          <w:sz w:val="24"/>
          <w:szCs w:val="24"/>
        </w:rPr>
        <w:t>soll grundsätzlich</w:t>
      </w:r>
      <w:r w:rsidRPr="00AB72F5">
        <w:rPr>
          <w:sz w:val="24"/>
          <w:szCs w:val="24"/>
        </w:rPr>
        <w:t xml:space="preserve"> </w:t>
      </w:r>
      <w:r w:rsidR="007E7E52" w:rsidRPr="00AB72F5">
        <w:rPr>
          <w:sz w:val="24"/>
          <w:szCs w:val="24"/>
        </w:rPr>
        <w:t>ein hohes Transferierungspotential auf andere Krankenhäuser aufweisen oder</w:t>
      </w:r>
      <w:r w:rsidR="007E7E52">
        <w:rPr>
          <w:sz w:val="24"/>
        </w:rPr>
        <w:t xml:space="preserve"> </w:t>
      </w:r>
      <w:r>
        <w:rPr>
          <w:sz w:val="24"/>
        </w:rPr>
        <w:t>ein Kooperationsprojekt von mindest</w:t>
      </w:r>
      <w:r w:rsidR="00635DC7">
        <w:rPr>
          <w:sz w:val="24"/>
        </w:rPr>
        <w:t xml:space="preserve">ens zwei Fondskrankenanstalten oder </w:t>
      </w:r>
      <w:r>
        <w:rPr>
          <w:sz w:val="24"/>
        </w:rPr>
        <w:t>mindestens einer Fondskrankenanstalt und eines extramuralen Par</w:t>
      </w:r>
      <w:r>
        <w:rPr>
          <w:sz w:val="24"/>
        </w:rPr>
        <w:t>t</w:t>
      </w:r>
      <w:r>
        <w:rPr>
          <w:sz w:val="24"/>
        </w:rPr>
        <w:t xml:space="preserve">ners </w:t>
      </w:r>
      <w:r w:rsidR="007E7E52">
        <w:rPr>
          <w:sz w:val="24"/>
        </w:rPr>
        <w:t>sein.</w:t>
      </w:r>
    </w:p>
    <w:p w14:paraId="6B86ECD3" w14:textId="77777777" w:rsidR="004D46FC" w:rsidRDefault="00BF1438" w:rsidP="00CB17C1">
      <w:pPr>
        <w:numPr>
          <w:ilvl w:val="0"/>
          <w:numId w:val="1"/>
        </w:numPr>
        <w:tabs>
          <w:tab w:val="clear" w:pos="340"/>
          <w:tab w:val="clear" w:pos="680"/>
          <w:tab w:val="clear" w:pos="1021"/>
        </w:tabs>
        <w:spacing w:after="600"/>
        <w:ind w:left="425" w:hanging="425"/>
        <w:rPr>
          <w:sz w:val="24"/>
        </w:rPr>
      </w:pPr>
      <w:r>
        <w:rPr>
          <w:sz w:val="24"/>
        </w:rPr>
        <w:t>Bei Ansuchen von Projekten, die in mehreren Krankenhäusern abgewickelt</w:t>
      </w:r>
      <w:r>
        <w:rPr>
          <w:sz w:val="24"/>
        </w:rPr>
        <w:br/>
        <w:t>werden, muss ein Verteilungsschlüssel über die Aufteilung der Förderung be</w:t>
      </w:r>
      <w:r>
        <w:rPr>
          <w:sz w:val="24"/>
        </w:rPr>
        <w:t>i</w:t>
      </w:r>
      <w:r>
        <w:rPr>
          <w:sz w:val="24"/>
        </w:rPr>
        <w:t>gelegt werden und die Einverständniserklärung aller teilnehmenden Kranke</w:t>
      </w:r>
      <w:r>
        <w:rPr>
          <w:sz w:val="24"/>
        </w:rPr>
        <w:t>n</w:t>
      </w:r>
      <w:r>
        <w:rPr>
          <w:sz w:val="24"/>
        </w:rPr>
        <w:t>häuser (Qualität</w:t>
      </w:r>
      <w:r>
        <w:rPr>
          <w:sz w:val="24"/>
        </w:rPr>
        <w:t>s</w:t>
      </w:r>
      <w:r>
        <w:rPr>
          <w:sz w:val="24"/>
        </w:rPr>
        <w:t>sicherungskommission</w:t>
      </w:r>
      <w:r w:rsidR="00EF3E39">
        <w:rPr>
          <w:sz w:val="24"/>
        </w:rPr>
        <w:t xml:space="preserve"> und kollegialen Führung oder Träger</w:t>
      </w:r>
      <w:r w:rsidR="00CB17C1">
        <w:rPr>
          <w:sz w:val="24"/>
        </w:rPr>
        <w:t>) vorliegen.</w:t>
      </w:r>
    </w:p>
    <w:p w14:paraId="32385B88" w14:textId="77777777" w:rsidR="00851A26" w:rsidRPr="00F17651" w:rsidRDefault="00851A26" w:rsidP="00851A26">
      <w:pPr>
        <w:tabs>
          <w:tab w:val="clear" w:pos="340"/>
          <w:tab w:val="clear" w:pos="680"/>
          <w:tab w:val="clear" w:pos="1021"/>
        </w:tabs>
        <w:spacing w:after="600"/>
        <w:rPr>
          <w:sz w:val="24"/>
        </w:rPr>
      </w:pPr>
    </w:p>
    <w:p w14:paraId="371C3411" w14:textId="77777777" w:rsidR="004D46FC" w:rsidRPr="003F1950" w:rsidRDefault="004D46FC" w:rsidP="00CB17C1">
      <w:pPr>
        <w:numPr>
          <w:ilvl w:val="0"/>
          <w:numId w:val="1"/>
        </w:numPr>
        <w:tabs>
          <w:tab w:val="clear" w:pos="340"/>
          <w:tab w:val="clear" w:pos="680"/>
          <w:tab w:val="clear" w:pos="1021"/>
        </w:tabs>
        <w:spacing w:after="160"/>
        <w:ind w:left="425" w:hanging="425"/>
        <w:rPr>
          <w:sz w:val="24"/>
        </w:rPr>
      </w:pPr>
      <w:r w:rsidRPr="003F1950">
        <w:rPr>
          <w:sz w:val="24"/>
        </w:rPr>
        <w:lastRenderedPageBreak/>
        <w:t>Im Projektantrag sind</w:t>
      </w:r>
      <w:r w:rsidR="003D758F" w:rsidRPr="003F1950">
        <w:rPr>
          <w:sz w:val="24"/>
        </w:rPr>
        <w:t>,</w:t>
      </w:r>
      <w:r w:rsidR="00673A25">
        <w:rPr>
          <w:sz w:val="24"/>
        </w:rPr>
        <w:t xml:space="preserve"> </w:t>
      </w:r>
      <w:r w:rsidR="003D758F" w:rsidRPr="003F1950">
        <w:rPr>
          <w:sz w:val="24"/>
        </w:rPr>
        <w:t xml:space="preserve">dem </w:t>
      </w:r>
      <w:proofErr w:type="gramStart"/>
      <w:r w:rsidR="003D758F" w:rsidRPr="003F1950">
        <w:rPr>
          <w:sz w:val="24"/>
        </w:rPr>
        <w:t>PDCA Zyklus</w:t>
      </w:r>
      <w:proofErr w:type="gramEnd"/>
      <w:r w:rsidR="003D758F" w:rsidRPr="003F1950">
        <w:rPr>
          <w:sz w:val="24"/>
        </w:rPr>
        <w:t xml:space="preserve"> entsprechend, </w:t>
      </w:r>
      <w:r w:rsidRPr="003F1950">
        <w:rPr>
          <w:sz w:val="24"/>
        </w:rPr>
        <w:t>folgende Punkte zu b</w:t>
      </w:r>
      <w:r w:rsidRPr="003F1950">
        <w:rPr>
          <w:sz w:val="24"/>
        </w:rPr>
        <w:t>e</w:t>
      </w:r>
      <w:r w:rsidRPr="003F1950">
        <w:rPr>
          <w:sz w:val="24"/>
        </w:rPr>
        <w:t>rücksichtigen:</w:t>
      </w:r>
    </w:p>
    <w:p w14:paraId="50064AD7" w14:textId="77777777" w:rsidR="00EF3E39" w:rsidRDefault="00EF3E39" w:rsidP="004D46FC">
      <w:pPr>
        <w:numPr>
          <w:ilvl w:val="0"/>
          <w:numId w:val="5"/>
        </w:numPr>
        <w:tabs>
          <w:tab w:val="clear" w:pos="340"/>
          <w:tab w:val="clear" w:pos="680"/>
          <w:tab w:val="clear" w:pos="1021"/>
        </w:tabs>
        <w:spacing w:after="0"/>
        <w:rPr>
          <w:sz w:val="24"/>
        </w:rPr>
      </w:pPr>
      <w:r>
        <w:rPr>
          <w:sz w:val="24"/>
        </w:rPr>
        <w:t>Abstract (maximal 300 Wörter)</w:t>
      </w:r>
    </w:p>
    <w:p w14:paraId="1C71EBB4" w14:textId="77777777" w:rsidR="004D46FC" w:rsidRPr="003F1950" w:rsidRDefault="004D46FC" w:rsidP="004D46FC">
      <w:pPr>
        <w:numPr>
          <w:ilvl w:val="0"/>
          <w:numId w:val="5"/>
        </w:numPr>
        <w:tabs>
          <w:tab w:val="clear" w:pos="340"/>
          <w:tab w:val="clear" w:pos="680"/>
          <w:tab w:val="clear" w:pos="1021"/>
        </w:tabs>
        <w:spacing w:after="0"/>
        <w:rPr>
          <w:sz w:val="24"/>
        </w:rPr>
      </w:pPr>
      <w:r w:rsidRPr="003F1950">
        <w:rPr>
          <w:sz w:val="24"/>
        </w:rPr>
        <w:t>Beschreibung der Ausgangslage</w:t>
      </w:r>
    </w:p>
    <w:p w14:paraId="596C2ACF" w14:textId="77777777" w:rsidR="004D46FC" w:rsidRPr="003F1950" w:rsidRDefault="004D46FC" w:rsidP="004D46FC">
      <w:pPr>
        <w:numPr>
          <w:ilvl w:val="0"/>
          <w:numId w:val="5"/>
        </w:numPr>
        <w:tabs>
          <w:tab w:val="clear" w:pos="340"/>
          <w:tab w:val="clear" w:pos="680"/>
          <w:tab w:val="clear" w:pos="1021"/>
        </w:tabs>
        <w:spacing w:after="0"/>
        <w:rPr>
          <w:sz w:val="24"/>
        </w:rPr>
      </w:pPr>
      <w:r w:rsidRPr="003F1950">
        <w:rPr>
          <w:sz w:val="24"/>
        </w:rPr>
        <w:t>Zielsetzung und Inhalte der Maßnahme</w:t>
      </w:r>
    </w:p>
    <w:p w14:paraId="25B33FE9" w14:textId="77777777" w:rsidR="00AF3F11" w:rsidRDefault="004D46FC" w:rsidP="00AF3F11">
      <w:pPr>
        <w:numPr>
          <w:ilvl w:val="0"/>
          <w:numId w:val="5"/>
        </w:numPr>
        <w:tabs>
          <w:tab w:val="clear" w:pos="340"/>
          <w:tab w:val="clear" w:pos="680"/>
          <w:tab w:val="clear" w:pos="1021"/>
        </w:tabs>
        <w:spacing w:after="0"/>
        <w:rPr>
          <w:sz w:val="24"/>
        </w:rPr>
      </w:pPr>
      <w:r w:rsidRPr="003F1950">
        <w:rPr>
          <w:sz w:val="24"/>
        </w:rPr>
        <w:t xml:space="preserve">abgestufter Zeit- und Maßnahmenplan mit der Benennung von </w:t>
      </w:r>
    </w:p>
    <w:p w14:paraId="68A79905" w14:textId="77777777" w:rsidR="004D46FC" w:rsidRPr="003F1950" w:rsidRDefault="004D46FC" w:rsidP="00AF3F11">
      <w:pPr>
        <w:tabs>
          <w:tab w:val="clear" w:pos="340"/>
          <w:tab w:val="clear" w:pos="680"/>
          <w:tab w:val="clear" w:pos="1021"/>
        </w:tabs>
        <w:spacing w:after="0"/>
        <w:ind w:left="1416"/>
        <w:rPr>
          <w:sz w:val="24"/>
        </w:rPr>
      </w:pPr>
      <w:r w:rsidRPr="003F1950">
        <w:rPr>
          <w:sz w:val="24"/>
        </w:rPr>
        <w:t>Meile</w:t>
      </w:r>
      <w:r w:rsidR="00AF3F11">
        <w:rPr>
          <w:sz w:val="24"/>
        </w:rPr>
        <w:t>n</w:t>
      </w:r>
      <w:r w:rsidRPr="003F1950">
        <w:rPr>
          <w:sz w:val="24"/>
        </w:rPr>
        <w:t>steinen (Erreichung von Teilzi</w:t>
      </w:r>
      <w:r w:rsidRPr="003F1950">
        <w:rPr>
          <w:sz w:val="24"/>
        </w:rPr>
        <w:t>e</w:t>
      </w:r>
      <w:r w:rsidRPr="003F1950">
        <w:rPr>
          <w:sz w:val="24"/>
        </w:rPr>
        <w:t>len)</w:t>
      </w:r>
    </w:p>
    <w:p w14:paraId="00A64AAF" w14:textId="77777777" w:rsidR="00AF3F11" w:rsidRDefault="004D46FC" w:rsidP="004D46FC">
      <w:pPr>
        <w:numPr>
          <w:ilvl w:val="0"/>
          <w:numId w:val="5"/>
        </w:numPr>
        <w:tabs>
          <w:tab w:val="clear" w:pos="340"/>
          <w:tab w:val="clear" w:pos="680"/>
          <w:tab w:val="clear" w:pos="1021"/>
        </w:tabs>
        <w:spacing w:after="0"/>
        <w:rPr>
          <w:sz w:val="24"/>
        </w:rPr>
      </w:pPr>
      <w:r w:rsidRPr="003F1950">
        <w:rPr>
          <w:sz w:val="24"/>
        </w:rPr>
        <w:t>Prozessbeschreibung in Form einer g</w:t>
      </w:r>
      <w:r w:rsidR="00AF3F11">
        <w:rPr>
          <w:sz w:val="24"/>
        </w:rPr>
        <w:t>rafischen Darstellung und eine</w:t>
      </w:r>
    </w:p>
    <w:p w14:paraId="068BC457" w14:textId="77777777" w:rsidR="004D46FC" w:rsidRPr="003F1950" w:rsidRDefault="004D46FC" w:rsidP="00AF3F11">
      <w:pPr>
        <w:tabs>
          <w:tab w:val="clear" w:pos="340"/>
          <w:tab w:val="clear" w:pos="680"/>
          <w:tab w:val="clear" w:pos="1021"/>
        </w:tabs>
        <w:spacing w:after="0"/>
        <w:ind w:left="1416"/>
        <w:rPr>
          <w:sz w:val="24"/>
        </w:rPr>
      </w:pPr>
      <w:r w:rsidRPr="003F1950">
        <w:rPr>
          <w:sz w:val="24"/>
        </w:rPr>
        <w:t>erläuter</w:t>
      </w:r>
      <w:r w:rsidRPr="003F1950">
        <w:rPr>
          <w:sz w:val="24"/>
        </w:rPr>
        <w:t>n</w:t>
      </w:r>
      <w:r w:rsidR="00342FB9">
        <w:rPr>
          <w:sz w:val="24"/>
        </w:rPr>
        <w:t>de</w:t>
      </w:r>
      <w:r w:rsidRPr="003F1950">
        <w:rPr>
          <w:sz w:val="24"/>
        </w:rPr>
        <w:t xml:space="preserve"> Kurzdarstellung in Stichworten</w:t>
      </w:r>
    </w:p>
    <w:p w14:paraId="3AF7E9E4" w14:textId="77777777" w:rsidR="004D46FC" w:rsidRPr="003F1950" w:rsidRDefault="004D46FC" w:rsidP="004D46FC">
      <w:pPr>
        <w:numPr>
          <w:ilvl w:val="0"/>
          <w:numId w:val="5"/>
        </w:numPr>
        <w:tabs>
          <w:tab w:val="clear" w:pos="340"/>
          <w:tab w:val="clear" w:pos="680"/>
          <w:tab w:val="clear" w:pos="1021"/>
        </w:tabs>
        <w:spacing w:after="0"/>
        <w:rPr>
          <w:sz w:val="24"/>
        </w:rPr>
      </w:pPr>
      <w:r w:rsidRPr="003F1950">
        <w:rPr>
          <w:sz w:val="24"/>
        </w:rPr>
        <w:t>Finanzierungsplan</w:t>
      </w:r>
    </w:p>
    <w:p w14:paraId="53D49C36" w14:textId="77777777" w:rsidR="004D46FC" w:rsidRPr="003F1950" w:rsidRDefault="004D46FC" w:rsidP="00CB17C1">
      <w:pPr>
        <w:numPr>
          <w:ilvl w:val="0"/>
          <w:numId w:val="5"/>
        </w:numPr>
        <w:tabs>
          <w:tab w:val="clear" w:pos="340"/>
          <w:tab w:val="clear" w:pos="680"/>
          <w:tab w:val="clear" w:pos="1021"/>
        </w:tabs>
        <w:spacing w:after="240"/>
        <w:ind w:left="1570" w:hanging="357"/>
        <w:rPr>
          <w:sz w:val="24"/>
        </w:rPr>
      </w:pPr>
      <w:r w:rsidRPr="003F1950">
        <w:rPr>
          <w:sz w:val="24"/>
        </w:rPr>
        <w:t>Evaluierung der Ergebnisse und Art der Dokumentation</w:t>
      </w:r>
    </w:p>
    <w:p w14:paraId="1E79B00A" w14:textId="77777777" w:rsidR="00BF1438" w:rsidRDefault="00BF1438" w:rsidP="00CB17C1">
      <w:pPr>
        <w:numPr>
          <w:ilvl w:val="0"/>
          <w:numId w:val="1"/>
        </w:numPr>
        <w:tabs>
          <w:tab w:val="clear" w:pos="340"/>
          <w:tab w:val="clear" w:pos="680"/>
          <w:tab w:val="clear" w:pos="1021"/>
        </w:tabs>
        <w:spacing w:after="240"/>
        <w:ind w:left="425" w:hanging="425"/>
        <w:rPr>
          <w:sz w:val="24"/>
        </w:rPr>
      </w:pPr>
      <w:r>
        <w:rPr>
          <w:sz w:val="24"/>
        </w:rPr>
        <w:t>Die Erfahrungen aus dem Projekt müssen in Form eines Endberich</w:t>
      </w:r>
      <w:r w:rsidR="006D1DB9">
        <w:rPr>
          <w:sz w:val="24"/>
        </w:rPr>
        <w:t>ts (nach Projektende)</w:t>
      </w:r>
      <w:r w:rsidR="00580538">
        <w:rPr>
          <w:sz w:val="24"/>
        </w:rPr>
        <w:t xml:space="preserve"> </w:t>
      </w:r>
      <w:r w:rsidR="00726B85">
        <w:rPr>
          <w:sz w:val="24"/>
        </w:rPr>
        <w:t xml:space="preserve">dem </w:t>
      </w:r>
      <w:r w:rsidR="00635DC7">
        <w:rPr>
          <w:sz w:val="24"/>
        </w:rPr>
        <w:t xml:space="preserve">Tiroler Gesundheitsfonds (TGF) und </w:t>
      </w:r>
      <w:r>
        <w:rPr>
          <w:sz w:val="24"/>
        </w:rPr>
        <w:t>anderen Fondskrankenanstalten unentgeltlich zur Verfügung gestellt werden. Zusätzlich ist vom geförderten Krankenhaus</w:t>
      </w:r>
      <w:r w:rsidR="00635DC7">
        <w:rPr>
          <w:sz w:val="24"/>
        </w:rPr>
        <w:t xml:space="preserve">, </w:t>
      </w:r>
      <w:r w:rsidR="00726B85">
        <w:rPr>
          <w:sz w:val="24"/>
        </w:rPr>
        <w:t xml:space="preserve">anderen </w:t>
      </w:r>
      <w:r w:rsidR="00635DC7">
        <w:rPr>
          <w:sz w:val="24"/>
        </w:rPr>
        <w:t xml:space="preserve">Fondskrankenanstalten </w:t>
      </w:r>
      <w:r>
        <w:rPr>
          <w:sz w:val="24"/>
        </w:rPr>
        <w:t xml:space="preserve">die </w:t>
      </w:r>
      <w:r w:rsidR="002F4EF7">
        <w:rPr>
          <w:sz w:val="24"/>
        </w:rPr>
        <w:t>ein konkretes Interesse</w:t>
      </w:r>
      <w:r>
        <w:rPr>
          <w:sz w:val="24"/>
        </w:rPr>
        <w:t xml:space="preserve"> am Projekt haben, die Gelegenheit eines Informat</w:t>
      </w:r>
      <w:r>
        <w:rPr>
          <w:sz w:val="24"/>
        </w:rPr>
        <w:t>i</w:t>
      </w:r>
      <w:r w:rsidR="00CB17C1">
        <w:rPr>
          <w:sz w:val="24"/>
        </w:rPr>
        <w:t>onsaustausches zu geben.</w:t>
      </w:r>
    </w:p>
    <w:p w14:paraId="3D63431A" w14:textId="77777777" w:rsidR="002F4EF7" w:rsidRPr="00737CE1" w:rsidRDefault="00BF1438" w:rsidP="00CB17C1">
      <w:pPr>
        <w:numPr>
          <w:ilvl w:val="0"/>
          <w:numId w:val="2"/>
        </w:numPr>
        <w:tabs>
          <w:tab w:val="clear" w:pos="340"/>
          <w:tab w:val="clear" w:pos="680"/>
          <w:tab w:val="clear" w:pos="1021"/>
          <w:tab w:val="left" w:pos="0"/>
        </w:tabs>
        <w:spacing w:after="240"/>
        <w:ind w:left="425" w:hanging="425"/>
        <w:rPr>
          <w:rStyle w:val="Hyperlink"/>
          <w:color w:val="auto"/>
          <w:sz w:val="24"/>
          <w:u w:val="none"/>
        </w:rPr>
      </w:pPr>
      <w:r w:rsidRPr="005101EC">
        <w:rPr>
          <w:sz w:val="24"/>
        </w:rPr>
        <w:t>Die Endberichte geförderter Projekte werden auf der Homepage des T</w:t>
      </w:r>
      <w:r w:rsidRPr="005101EC">
        <w:rPr>
          <w:sz w:val="24"/>
        </w:rPr>
        <w:t>i</w:t>
      </w:r>
      <w:r w:rsidRPr="005101EC">
        <w:rPr>
          <w:sz w:val="24"/>
        </w:rPr>
        <w:t>roler Gesundheitsfonds veröffentlicht.</w:t>
      </w:r>
      <w:r w:rsidR="0049681F">
        <w:rPr>
          <w:sz w:val="24"/>
        </w:rPr>
        <w:br/>
      </w:r>
      <w:hyperlink r:id="rId7" w:history="1">
        <w:r w:rsidR="0049681F" w:rsidRPr="00177A6C">
          <w:rPr>
            <w:rStyle w:val="Hyperlink"/>
          </w:rPr>
          <w:t>https://www.tirol.gv.at/gesundheit-vor</w:t>
        </w:r>
        <w:r w:rsidR="0049681F" w:rsidRPr="00177A6C">
          <w:rPr>
            <w:rStyle w:val="Hyperlink"/>
          </w:rPr>
          <w:t>s</w:t>
        </w:r>
        <w:r w:rsidR="0049681F" w:rsidRPr="00177A6C">
          <w:rPr>
            <w:rStyle w:val="Hyperlink"/>
          </w:rPr>
          <w:t>orge/krankenanstalten/qfp-projekte/</w:t>
        </w:r>
      </w:hyperlink>
    </w:p>
    <w:p w14:paraId="241223A0" w14:textId="77777777" w:rsidR="00737CE1" w:rsidRPr="00F77E5B" w:rsidRDefault="00737CE1" w:rsidP="00CB17C1">
      <w:pPr>
        <w:numPr>
          <w:ilvl w:val="0"/>
          <w:numId w:val="2"/>
        </w:numPr>
        <w:tabs>
          <w:tab w:val="clear" w:pos="340"/>
          <w:tab w:val="clear" w:pos="680"/>
          <w:tab w:val="clear" w:pos="1021"/>
          <w:tab w:val="left" w:pos="0"/>
        </w:tabs>
        <w:spacing w:after="240"/>
        <w:ind w:left="425" w:hanging="425"/>
        <w:rPr>
          <w:sz w:val="24"/>
        </w:rPr>
      </w:pPr>
      <w:r w:rsidRPr="00F77E5B">
        <w:rPr>
          <w:sz w:val="24"/>
        </w:rPr>
        <w:t>Die Fördermittel werden nach Vorlage der Abrechnung und des Endberichtes ausgezahlt. Die Legung dieser beiden Dokumente muss bis spätestens drei Jahre nach dem im Antrag skizzierten Projektende</w:t>
      </w:r>
      <w:r w:rsidR="00722ED4" w:rsidRPr="00F77E5B">
        <w:rPr>
          <w:sz w:val="24"/>
        </w:rPr>
        <w:t xml:space="preserve"> erfolgen.</w:t>
      </w:r>
    </w:p>
    <w:p w14:paraId="66ED692B" w14:textId="77777777" w:rsidR="002F4EF7" w:rsidRDefault="00BF1438" w:rsidP="00CB17C1">
      <w:pPr>
        <w:numPr>
          <w:ilvl w:val="0"/>
          <w:numId w:val="2"/>
        </w:numPr>
        <w:tabs>
          <w:tab w:val="clear" w:pos="340"/>
          <w:tab w:val="clear" w:pos="680"/>
          <w:tab w:val="clear" w:pos="1021"/>
          <w:tab w:val="left" w:pos="0"/>
        </w:tabs>
        <w:spacing w:after="240"/>
        <w:ind w:left="425" w:hanging="425"/>
        <w:rPr>
          <w:sz w:val="24"/>
        </w:rPr>
      </w:pPr>
      <w:r w:rsidRPr="002F4EF7">
        <w:rPr>
          <w:sz w:val="24"/>
        </w:rPr>
        <w:t>Wenn Projektmi</w:t>
      </w:r>
      <w:r w:rsidRPr="002F4EF7">
        <w:rPr>
          <w:sz w:val="24"/>
        </w:rPr>
        <w:t>t</w:t>
      </w:r>
      <w:r w:rsidRPr="002F4EF7">
        <w:rPr>
          <w:sz w:val="24"/>
        </w:rPr>
        <w:t>tel an Firmen der Antragsteller gehen sollen, müssen diese deklariert werden (declaration of int</w:t>
      </w:r>
      <w:r w:rsidR="00CB17C1">
        <w:rPr>
          <w:sz w:val="24"/>
        </w:rPr>
        <w:t>erest).</w:t>
      </w:r>
    </w:p>
    <w:p w14:paraId="3CE891BB" w14:textId="77777777" w:rsidR="004F3060" w:rsidRDefault="00BF1438" w:rsidP="004F3060">
      <w:pPr>
        <w:numPr>
          <w:ilvl w:val="0"/>
          <w:numId w:val="2"/>
        </w:numPr>
        <w:tabs>
          <w:tab w:val="clear" w:pos="340"/>
          <w:tab w:val="clear" w:pos="680"/>
          <w:tab w:val="clear" w:pos="1021"/>
          <w:tab w:val="left" w:pos="0"/>
        </w:tabs>
        <w:spacing w:after="240"/>
        <w:ind w:left="425" w:hanging="425"/>
        <w:rPr>
          <w:sz w:val="24"/>
        </w:rPr>
      </w:pPr>
      <w:r w:rsidRPr="002F4EF7">
        <w:rPr>
          <w:sz w:val="24"/>
        </w:rPr>
        <w:t>Die maximale Förderquote für eingereichte Projekte beträgt 90 %.</w:t>
      </w:r>
      <w:r w:rsidRPr="002F4EF7">
        <w:rPr>
          <w:sz w:val="24"/>
        </w:rPr>
        <w:br/>
      </w:r>
      <w:r w:rsidRPr="00F77E5B">
        <w:rPr>
          <w:sz w:val="24"/>
        </w:rPr>
        <w:t>Je nach Zahl und Kosten der eingereichten Projekte kann bei Überschreitung</w:t>
      </w:r>
      <w:r w:rsidRPr="002F4EF7">
        <w:rPr>
          <w:sz w:val="24"/>
        </w:rPr>
        <w:t xml:space="preserve"> des Budgetrahmens eine niedrigere Fö</w:t>
      </w:r>
      <w:r w:rsidR="00CB17C1">
        <w:rPr>
          <w:sz w:val="24"/>
        </w:rPr>
        <w:t>rderquote ausgeschüttet werden.</w:t>
      </w:r>
    </w:p>
    <w:p w14:paraId="412B771E" w14:textId="77777777" w:rsidR="00AF3F11" w:rsidRPr="00F77E5B" w:rsidRDefault="005101EC" w:rsidP="00AF3F11">
      <w:pPr>
        <w:numPr>
          <w:ilvl w:val="0"/>
          <w:numId w:val="2"/>
        </w:numPr>
        <w:tabs>
          <w:tab w:val="clear" w:pos="340"/>
          <w:tab w:val="clear" w:pos="680"/>
          <w:tab w:val="clear" w:pos="1021"/>
          <w:tab w:val="left" w:pos="0"/>
        </w:tabs>
        <w:spacing w:after="240"/>
        <w:ind w:left="425" w:hanging="425"/>
        <w:rPr>
          <w:sz w:val="24"/>
          <w:szCs w:val="24"/>
        </w:rPr>
      </w:pPr>
      <w:r w:rsidRPr="004F3060">
        <w:rPr>
          <w:color w:val="1D1B11"/>
          <w:sz w:val="24"/>
        </w:rPr>
        <w:t xml:space="preserve">Projekte werden bevorzugt gefördert, wenn sie inhaltlich mit der </w:t>
      </w:r>
      <w:r w:rsidR="0009230D" w:rsidRPr="004F3060">
        <w:rPr>
          <w:color w:val="1D1B11"/>
          <w:sz w:val="24"/>
        </w:rPr>
        <w:t xml:space="preserve">Strategie zur </w:t>
      </w:r>
      <w:r w:rsidRPr="004F3060">
        <w:rPr>
          <w:color w:val="1D1B11"/>
          <w:sz w:val="24"/>
        </w:rPr>
        <w:t>Qualitätsförderung des TGF und den, durch die Qualitätssicherungsko</w:t>
      </w:r>
      <w:r w:rsidRPr="004F3060">
        <w:rPr>
          <w:color w:val="1D1B11"/>
          <w:sz w:val="24"/>
        </w:rPr>
        <w:t>m</w:t>
      </w:r>
      <w:r w:rsidRPr="004F3060">
        <w:rPr>
          <w:color w:val="1D1B11"/>
          <w:sz w:val="24"/>
        </w:rPr>
        <w:t>mission jährlich definierten Themenschwe</w:t>
      </w:r>
      <w:r w:rsidRPr="004F3060">
        <w:rPr>
          <w:color w:val="1D1B11"/>
          <w:sz w:val="24"/>
        </w:rPr>
        <w:t>r</w:t>
      </w:r>
      <w:r w:rsidR="00AF3F11">
        <w:rPr>
          <w:color w:val="1D1B11"/>
          <w:sz w:val="24"/>
        </w:rPr>
        <w:t>punkten übereinstimmen</w:t>
      </w:r>
      <w:r w:rsidR="00AF3F11" w:rsidRPr="00F77E5B">
        <w:rPr>
          <w:color w:val="1D1B11"/>
          <w:sz w:val="24"/>
        </w:rPr>
        <w:t>.</w:t>
      </w:r>
      <w:r w:rsidR="00737CE1" w:rsidRPr="00F77E5B">
        <w:rPr>
          <w:color w:val="1D1B11"/>
          <w:sz w:val="24"/>
        </w:rPr>
        <w:t xml:space="preserve"> Das in der Strategie 2030 neu hinzugenommene Ziel 5 bezieht sich auf eine Förderung von Prozessen, die zur Einführung von e-Health- und KI-Technologien dienen. Als Nicht-Ziel wurde die Förderung von Anschaffungskosten für Software definiert.</w:t>
      </w:r>
    </w:p>
    <w:p w14:paraId="3B859EFA" w14:textId="77777777" w:rsidR="00D27F5D" w:rsidRPr="00D27F5D" w:rsidRDefault="00D27F5D" w:rsidP="00D27F5D">
      <w:pPr>
        <w:pStyle w:val="StandardWeb"/>
        <w:rPr>
          <w:rFonts w:ascii="Arial" w:eastAsia="Times New Roman" w:hAnsi="Arial" w:cs="Arial"/>
          <w:b/>
          <w:color w:val="000000"/>
          <w:sz w:val="24"/>
          <w:szCs w:val="24"/>
          <w:lang w:val="de-AT" w:eastAsia="de-AT"/>
        </w:rPr>
      </w:pPr>
      <w:r>
        <w:rPr>
          <w:sz w:val="24"/>
          <w:szCs w:val="24"/>
        </w:rPr>
        <w:br w:type="page"/>
      </w:r>
      <w:r w:rsidRPr="00D27F5D">
        <w:rPr>
          <w:rFonts w:ascii="Arial" w:eastAsia="Times New Roman" w:hAnsi="Arial" w:cs="Arial"/>
          <w:b/>
          <w:color w:val="000000"/>
          <w:sz w:val="24"/>
          <w:szCs w:val="24"/>
          <w:lang w:val="de-AT" w:eastAsia="de-AT"/>
        </w:rPr>
        <w:lastRenderedPageBreak/>
        <w:t>Qualitätsförderungsstrategie des Tiroler Gesundheitsfonds 20</w:t>
      </w:r>
      <w:r w:rsidR="00F0383B">
        <w:rPr>
          <w:rFonts w:ascii="Arial" w:eastAsia="Times New Roman" w:hAnsi="Arial" w:cs="Arial"/>
          <w:b/>
          <w:color w:val="000000"/>
          <w:sz w:val="24"/>
          <w:szCs w:val="24"/>
          <w:lang w:val="de-AT" w:eastAsia="de-AT"/>
        </w:rPr>
        <w:t>30</w:t>
      </w:r>
    </w:p>
    <w:p w14:paraId="1030B7F0" w14:textId="77777777" w:rsidR="00D27F5D" w:rsidRDefault="00D27F5D" w:rsidP="00D27F5D">
      <w:pPr>
        <w:tabs>
          <w:tab w:val="clear" w:pos="340"/>
          <w:tab w:val="clear" w:pos="680"/>
          <w:tab w:val="clear" w:pos="1021"/>
        </w:tabs>
        <w:overflowPunct/>
        <w:autoSpaceDE/>
        <w:autoSpaceDN/>
        <w:adjustRightInd/>
        <w:spacing w:before="100" w:beforeAutospacing="1" w:afterAutospacing="1" w:line="240" w:lineRule="auto"/>
        <w:textAlignment w:val="auto"/>
        <w:rPr>
          <w:rFonts w:cs="Arial"/>
          <w:bCs/>
          <w:iCs/>
          <w:color w:val="000000"/>
          <w:spacing w:val="0"/>
          <w:sz w:val="24"/>
          <w:szCs w:val="24"/>
          <w:lang w:val="de-AT" w:eastAsia="de-AT"/>
        </w:rPr>
      </w:pPr>
    </w:p>
    <w:p w14:paraId="380D20DE" w14:textId="77777777" w:rsidR="00F0383B" w:rsidRPr="00F0383B" w:rsidRDefault="00F0383B" w:rsidP="00F0383B">
      <w:pPr>
        <w:pStyle w:val="KeinLeerraum"/>
        <w:spacing w:after="240"/>
        <w:rPr>
          <w:rFonts w:ascii="Arial" w:hAnsi="Arial" w:cs="Arial"/>
          <w:b/>
          <w:sz w:val="24"/>
          <w:szCs w:val="24"/>
        </w:rPr>
      </w:pPr>
      <w:r w:rsidRPr="00F0383B">
        <w:rPr>
          <w:rFonts w:ascii="Arial" w:hAnsi="Arial" w:cs="Arial"/>
          <w:b/>
          <w:sz w:val="24"/>
          <w:szCs w:val="24"/>
        </w:rPr>
        <w:t xml:space="preserve">Vision 2030: </w:t>
      </w:r>
    </w:p>
    <w:p w14:paraId="6AB2C4B4" w14:textId="77777777" w:rsidR="00F0383B" w:rsidRPr="00F0383B" w:rsidRDefault="00F0383B" w:rsidP="00F0383B">
      <w:pPr>
        <w:pStyle w:val="KeinLeerraum"/>
        <w:spacing w:line="360" w:lineRule="auto"/>
        <w:jc w:val="both"/>
        <w:rPr>
          <w:rFonts w:ascii="Arial" w:hAnsi="Arial" w:cs="Arial"/>
          <w:sz w:val="24"/>
        </w:rPr>
      </w:pPr>
      <w:r w:rsidRPr="00F0383B">
        <w:rPr>
          <w:rFonts w:ascii="Arial" w:hAnsi="Arial" w:cs="Arial"/>
          <w:sz w:val="24"/>
        </w:rPr>
        <w:t xml:space="preserve">Der TGF wirkt aktiv an der Verbesserung der Gesundheitsversorgung der in Tirol lebenden Menschen mit. </w:t>
      </w:r>
    </w:p>
    <w:p w14:paraId="67312859" w14:textId="77777777" w:rsidR="00F0383B" w:rsidRPr="00F0383B" w:rsidRDefault="00F0383B" w:rsidP="00F0383B">
      <w:pPr>
        <w:pStyle w:val="KeinLeerraum"/>
        <w:spacing w:line="360" w:lineRule="auto"/>
        <w:jc w:val="both"/>
        <w:rPr>
          <w:rFonts w:ascii="Arial" w:hAnsi="Arial" w:cs="Arial"/>
          <w:sz w:val="24"/>
        </w:rPr>
      </w:pPr>
      <w:r w:rsidRPr="00F0383B">
        <w:rPr>
          <w:rFonts w:ascii="Arial" w:hAnsi="Arial" w:cs="Arial"/>
          <w:sz w:val="24"/>
        </w:rPr>
        <w:t>Er unterstützt partnerschaftlich und koordiniert die Tiroler Fondskrankenanstalten in ihren Bestrebungen, die Sicherheit und Qualität der Versorgung für die ihnen anvertrauten Patientinnen und Patienten nach den Grundsätzen der Gerechtigkeit, Angemessenheit, Effektivität und Effizienz und Nachhaltigkeit kontinuierlich zu verbessern, wobei der interdisziplinären und interprofessionellen prozessbezogenen Zusammenarbeit ein großer Stellenwert eingeräumt wird.</w:t>
      </w:r>
    </w:p>
    <w:p w14:paraId="63E5BAF1" w14:textId="77777777" w:rsidR="00F0383B" w:rsidRPr="00F0383B" w:rsidRDefault="00F0383B" w:rsidP="00F0383B">
      <w:pPr>
        <w:pStyle w:val="KeinLeerraum"/>
        <w:spacing w:line="360" w:lineRule="auto"/>
        <w:jc w:val="both"/>
        <w:rPr>
          <w:rFonts w:ascii="Arial" w:hAnsi="Arial" w:cs="Arial"/>
          <w:sz w:val="24"/>
          <w:lang w:val="de-AT"/>
        </w:rPr>
      </w:pPr>
      <w:r w:rsidRPr="00F0383B">
        <w:rPr>
          <w:rFonts w:ascii="Arial" w:hAnsi="Arial" w:cs="Arial"/>
          <w:sz w:val="24"/>
        </w:rPr>
        <w:t>Er bietet den Tiroler Fondskrankenanstalten Orientierungshilfe, Vernetzung und finanzielle Unterstützung in der Umsetzung von Qualitätsverbesserungsmaßnahmen und ist Ansprechpartner für alle Systempartner.</w:t>
      </w:r>
    </w:p>
    <w:p w14:paraId="7F419CDE" w14:textId="77777777" w:rsidR="00F0383B" w:rsidRDefault="00F0383B" w:rsidP="00F0383B">
      <w:pPr>
        <w:pStyle w:val="KeinLeerraum"/>
        <w:spacing w:line="360" w:lineRule="auto"/>
        <w:rPr>
          <w:sz w:val="24"/>
          <w:lang w:val="de-AT"/>
        </w:rPr>
      </w:pPr>
    </w:p>
    <w:p w14:paraId="132BF161" w14:textId="77777777" w:rsidR="00F0383B" w:rsidRPr="00F0383B" w:rsidRDefault="00F0383B" w:rsidP="00F0383B">
      <w:pPr>
        <w:pStyle w:val="KeinLeerraum"/>
        <w:spacing w:after="240"/>
        <w:rPr>
          <w:rFonts w:ascii="Arial" w:hAnsi="Arial" w:cs="Arial"/>
          <w:b/>
          <w:sz w:val="24"/>
          <w:szCs w:val="24"/>
        </w:rPr>
      </w:pPr>
      <w:r w:rsidRPr="00F0383B">
        <w:rPr>
          <w:rFonts w:ascii="Arial" w:hAnsi="Arial" w:cs="Arial"/>
          <w:b/>
          <w:sz w:val="24"/>
          <w:szCs w:val="24"/>
        </w:rPr>
        <w:t>Strategie 2030:</w:t>
      </w:r>
    </w:p>
    <w:p w14:paraId="17D7CC1D" w14:textId="77777777" w:rsidR="00F0383B" w:rsidRPr="00F0383B" w:rsidRDefault="00F0383B" w:rsidP="00F77E5B">
      <w:pPr>
        <w:pStyle w:val="KeinLeerraum"/>
        <w:spacing w:after="240" w:line="360" w:lineRule="auto"/>
        <w:jc w:val="both"/>
        <w:rPr>
          <w:rFonts w:ascii="Arial" w:hAnsi="Arial" w:cs="Arial"/>
          <w:sz w:val="24"/>
        </w:rPr>
      </w:pPr>
      <w:r w:rsidRPr="00F0383B">
        <w:rPr>
          <w:rFonts w:ascii="Arial" w:hAnsi="Arial" w:cs="Arial"/>
          <w:b/>
          <w:sz w:val="24"/>
        </w:rPr>
        <w:t>Ziel 1:</w:t>
      </w:r>
      <w:r w:rsidRPr="00F0383B">
        <w:rPr>
          <w:rFonts w:ascii="Arial" w:hAnsi="Arial" w:cs="Arial"/>
          <w:sz w:val="24"/>
        </w:rPr>
        <w:t xml:space="preserve"> Alle Krankenanstalten haben systematische und nachhaltige Strukturen des Risiko- und Fehlermanagements.</w:t>
      </w:r>
    </w:p>
    <w:p w14:paraId="4CBE3F03" w14:textId="77777777" w:rsidR="00F0383B" w:rsidRPr="00F0383B" w:rsidRDefault="00F0383B" w:rsidP="00F77E5B">
      <w:pPr>
        <w:pStyle w:val="KeinLeerraum"/>
        <w:spacing w:after="240" w:line="360" w:lineRule="auto"/>
        <w:jc w:val="both"/>
        <w:rPr>
          <w:rFonts w:ascii="Arial" w:hAnsi="Arial" w:cs="Arial"/>
          <w:sz w:val="24"/>
        </w:rPr>
      </w:pPr>
      <w:r w:rsidRPr="00F0383B">
        <w:rPr>
          <w:rFonts w:ascii="Arial" w:hAnsi="Arial" w:cs="Arial"/>
          <w:b/>
          <w:sz w:val="24"/>
        </w:rPr>
        <w:t>Ziel 2:</w:t>
      </w:r>
      <w:r w:rsidRPr="00F0383B">
        <w:rPr>
          <w:rFonts w:ascii="Arial" w:hAnsi="Arial" w:cs="Arial"/>
          <w:sz w:val="24"/>
        </w:rPr>
        <w:t xml:space="preserve"> </w:t>
      </w:r>
      <w:r w:rsidRPr="00F77E5B">
        <w:rPr>
          <w:rFonts w:ascii="Arial" w:hAnsi="Arial" w:cs="Arial"/>
          <w:sz w:val="24"/>
        </w:rPr>
        <w:t>A</w:t>
      </w:r>
      <w:r w:rsidRPr="00F0383B">
        <w:rPr>
          <w:rFonts w:ascii="Arial" w:hAnsi="Arial" w:cs="Arial"/>
          <w:sz w:val="24"/>
        </w:rPr>
        <w:t>lle Krankenanstalten verfügen ihrem Versorgungsauftrag entsprechend über ein angemessenes und vergleichbares prozessorientiertes QM-System.</w:t>
      </w:r>
    </w:p>
    <w:p w14:paraId="3984450F" w14:textId="77777777" w:rsidR="00F0383B" w:rsidRPr="00F0383B" w:rsidRDefault="00F0383B" w:rsidP="00F77E5B">
      <w:pPr>
        <w:pStyle w:val="KeinLeerraum"/>
        <w:spacing w:after="240" w:line="360" w:lineRule="auto"/>
        <w:jc w:val="both"/>
        <w:rPr>
          <w:rFonts w:ascii="Arial" w:hAnsi="Arial" w:cs="Arial"/>
          <w:sz w:val="24"/>
        </w:rPr>
      </w:pPr>
      <w:r w:rsidRPr="00F0383B">
        <w:rPr>
          <w:rFonts w:ascii="Arial" w:hAnsi="Arial" w:cs="Arial"/>
          <w:b/>
          <w:sz w:val="24"/>
        </w:rPr>
        <w:t>Ziel 3:</w:t>
      </w:r>
      <w:r w:rsidRPr="00F0383B">
        <w:rPr>
          <w:rFonts w:ascii="Arial" w:hAnsi="Arial" w:cs="Arial"/>
          <w:sz w:val="24"/>
        </w:rPr>
        <w:t xml:space="preserve"> Alle Krankenanstalten sind bzgl. Ihres QM-Systems untereinander und mit dem TGF vernetzt.</w:t>
      </w:r>
    </w:p>
    <w:p w14:paraId="225A2AAA" w14:textId="77777777" w:rsidR="00F0383B" w:rsidRPr="00F0383B" w:rsidRDefault="00F0383B" w:rsidP="00F77E5B">
      <w:pPr>
        <w:pStyle w:val="KeinLeerraum"/>
        <w:spacing w:after="240" w:line="360" w:lineRule="auto"/>
        <w:jc w:val="both"/>
        <w:rPr>
          <w:rFonts w:ascii="Arial" w:hAnsi="Arial" w:cs="Arial"/>
          <w:sz w:val="24"/>
        </w:rPr>
      </w:pPr>
      <w:r w:rsidRPr="00F0383B">
        <w:rPr>
          <w:rFonts w:ascii="Arial" w:hAnsi="Arial" w:cs="Arial"/>
          <w:b/>
          <w:sz w:val="24"/>
        </w:rPr>
        <w:t>Ziel 4:</w:t>
      </w:r>
      <w:r w:rsidRPr="00F0383B">
        <w:rPr>
          <w:rFonts w:ascii="Arial" w:hAnsi="Arial" w:cs="Arial"/>
          <w:sz w:val="24"/>
        </w:rPr>
        <w:t xml:space="preserve"> Der TGF bietet den Krankenanstalten Orientierungshilfe und gibt Empfehlungen zur Qualitätsentwicklung.</w:t>
      </w:r>
    </w:p>
    <w:p w14:paraId="782389E8" w14:textId="77777777" w:rsidR="00F0383B" w:rsidRPr="00F0383B" w:rsidRDefault="00F0383B" w:rsidP="00F77E5B">
      <w:pPr>
        <w:tabs>
          <w:tab w:val="clear" w:pos="340"/>
          <w:tab w:val="clear" w:pos="680"/>
          <w:tab w:val="clear" w:pos="1021"/>
        </w:tabs>
        <w:overflowPunct/>
        <w:autoSpaceDE/>
        <w:autoSpaceDN/>
        <w:adjustRightInd/>
        <w:spacing w:before="100" w:beforeAutospacing="1" w:afterAutospacing="1" w:line="360" w:lineRule="auto"/>
        <w:textAlignment w:val="auto"/>
        <w:rPr>
          <w:rFonts w:cs="Arial"/>
          <w:bCs/>
          <w:iCs/>
          <w:color w:val="000000"/>
          <w:spacing w:val="0"/>
          <w:sz w:val="24"/>
          <w:szCs w:val="24"/>
          <w:lang w:val="de-AT" w:eastAsia="de-AT"/>
        </w:rPr>
      </w:pPr>
      <w:r w:rsidRPr="00F0383B">
        <w:rPr>
          <w:rFonts w:cs="Arial"/>
          <w:b/>
          <w:sz w:val="24"/>
        </w:rPr>
        <w:t>Ziel 5:</w:t>
      </w:r>
      <w:r w:rsidRPr="00F0383B">
        <w:rPr>
          <w:rFonts w:cs="Arial"/>
          <w:sz w:val="24"/>
        </w:rPr>
        <w:t xml:space="preserve"> </w:t>
      </w:r>
      <w:r w:rsidRPr="00F77E5B">
        <w:rPr>
          <w:rFonts w:cs="Arial"/>
          <w:sz w:val="24"/>
        </w:rPr>
        <w:t>Der TGF fördert die Krankenanstalten bei der Einführung, Etablierung und Harmonisierung von digitalen Anwendungen und KI-Instrumenten, soweit sie den Vorgaben des QFP entsprechen</w:t>
      </w:r>
      <w:r w:rsidRPr="00F0383B">
        <w:rPr>
          <w:rFonts w:cs="Arial"/>
          <w:sz w:val="24"/>
        </w:rPr>
        <w:t>.</w:t>
      </w:r>
    </w:p>
    <w:sectPr w:rsidR="00F0383B" w:rsidRPr="00F0383B" w:rsidSect="00851A26">
      <w:headerReference w:type="even" r:id="rId8"/>
      <w:headerReference w:type="default" r:id="rId9"/>
      <w:footerReference w:type="even" r:id="rId10"/>
      <w:footerReference w:type="default" r:id="rId11"/>
      <w:pgSz w:w="11907" w:h="16840" w:code="9"/>
      <w:pgMar w:top="964" w:right="1191" w:bottom="964" w:left="1191" w:header="720" w:footer="720"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6AB4" w14:textId="77777777" w:rsidR="007E056E" w:rsidRDefault="007E056E">
      <w:pPr>
        <w:spacing w:after="0" w:line="240" w:lineRule="auto"/>
      </w:pPr>
      <w:r>
        <w:separator/>
      </w:r>
    </w:p>
  </w:endnote>
  <w:endnote w:type="continuationSeparator" w:id="0">
    <w:p w14:paraId="2CAFB9B4" w14:textId="77777777" w:rsidR="007E056E" w:rsidRDefault="007E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5907" w14:textId="77777777" w:rsidR="00A829DC" w:rsidRDefault="00A829DC">
    <w:pPr>
      <w:pStyle w:val="Fuzeile"/>
      <w:jc w:val="right"/>
    </w:pPr>
    <w:r>
      <w:fldChar w:fldCharType="begin"/>
    </w:r>
    <w:r>
      <w:instrText>PAGE   \* MERGEFORMAT</w:instrText>
    </w:r>
    <w:r>
      <w:fldChar w:fldCharType="separate"/>
    </w:r>
    <w:r w:rsidR="005A26CC">
      <w:rPr>
        <w:noProof/>
      </w:rPr>
      <w:t>2</w:t>
    </w:r>
    <w:r>
      <w:fldChar w:fldCharType="end"/>
    </w:r>
  </w:p>
  <w:p w14:paraId="059117B8" w14:textId="77777777" w:rsidR="00A829DC" w:rsidRDefault="0094304B">
    <w:pPr>
      <w:pStyle w:val="Fuzeile"/>
    </w:pPr>
    <w:r>
      <w:t xml:space="preserve">Version </w:t>
    </w:r>
    <w:r w:rsidR="00771BD7">
      <w:t>15.01.2026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A2DE" w14:textId="77777777" w:rsidR="00A829DC" w:rsidRDefault="00A829DC">
    <w:pPr>
      <w:pStyle w:val="Fuzeile"/>
      <w:jc w:val="right"/>
    </w:pPr>
    <w:r>
      <w:fldChar w:fldCharType="begin"/>
    </w:r>
    <w:r>
      <w:instrText>PAGE   \* MERGEFORMAT</w:instrText>
    </w:r>
    <w:r>
      <w:fldChar w:fldCharType="separate"/>
    </w:r>
    <w:r w:rsidR="005A26CC">
      <w:rPr>
        <w:noProof/>
      </w:rPr>
      <w:t>3</w:t>
    </w:r>
    <w:r>
      <w:fldChar w:fldCharType="end"/>
    </w:r>
  </w:p>
  <w:p w14:paraId="5048D3FF" w14:textId="77777777" w:rsidR="00BF1438" w:rsidRPr="003818BF" w:rsidRDefault="00E862B5" w:rsidP="003818BF">
    <w:pPr>
      <w:pStyle w:val="Fuzeile"/>
    </w:pPr>
    <w:r w:rsidRPr="003818BF">
      <w:t xml:space="preserve">Version </w:t>
    </w:r>
    <w:r w:rsidR="00A50F1C">
      <w:t>15.01.2026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7035" w14:textId="77777777" w:rsidR="007E056E" w:rsidRDefault="007E056E">
      <w:pPr>
        <w:spacing w:after="0" w:line="240" w:lineRule="auto"/>
      </w:pPr>
      <w:r>
        <w:separator/>
      </w:r>
    </w:p>
  </w:footnote>
  <w:footnote w:type="continuationSeparator" w:id="0">
    <w:p w14:paraId="30BB95D4" w14:textId="77777777" w:rsidR="007E056E" w:rsidRDefault="007E0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2B6F" w14:textId="77777777" w:rsidR="00851A26" w:rsidRDefault="006B5C75">
    <w:pPr>
      <w:pStyle w:val="Kopfzeile"/>
    </w:pPr>
    <w:r>
      <w:tab/>
    </w:r>
    <w:r>
      <w:tab/>
    </w:r>
    <w:r w:rsidRPr="006B5C75">
      <w:rPr>
        <w:lang w:val="de-AT"/>
      </w:rPr>
    </w:r>
    <w:r w:rsidRPr="006B5C75">
      <w:pict w14:anchorId="7207C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82.55pt;height:82.55pt;mso-position-horizontal-relative:char;mso-position-vertical-relative:line">
          <v:imagedata r:id="rId1" o:title=""/>
          <w10:wrap type="non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112D" w14:textId="77777777" w:rsidR="000204C5" w:rsidRDefault="000204C5">
    <w:pPr>
      <w:pStyle w:val="Kopfzeile"/>
    </w:pPr>
    <w:r>
      <w:tab/>
    </w:r>
    <w:r>
      <w:tab/>
    </w:r>
    <w:r>
      <w:rPr>
        <w:noProof/>
        <w:lang w:val="de-AT" w:eastAsia="de-AT"/>
      </w:rPr>
    </w:r>
    <w:r>
      <w:pict w14:anchorId="5D505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82.55pt;height:82.55pt;mso-position-horizontal-relative:char;mso-position-vertical-relative:line">
          <v:imagedata r:id="rId1" o:title=""/>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D54B4"/>
    <w:multiLevelType w:val="hybridMultilevel"/>
    <w:tmpl w:val="A7284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4259F2"/>
    <w:multiLevelType w:val="singleLevel"/>
    <w:tmpl w:val="C868BEC4"/>
    <w:lvl w:ilvl="0">
      <w:start w:val="9"/>
      <w:numFmt w:val="decimal"/>
      <w:lvlText w:val="%1."/>
      <w:legacy w:legacy="1" w:legacySpace="120" w:legacyIndent="283"/>
      <w:lvlJc w:val="left"/>
      <w:pPr>
        <w:ind w:left="283" w:hanging="283"/>
      </w:pPr>
    </w:lvl>
  </w:abstractNum>
  <w:abstractNum w:abstractNumId="2" w15:restartNumberingAfterBreak="0">
    <w:nsid w:val="6AD9534A"/>
    <w:multiLevelType w:val="hybridMultilevel"/>
    <w:tmpl w:val="0CE40C36"/>
    <w:lvl w:ilvl="0" w:tplc="0407000B">
      <w:start w:val="1"/>
      <w:numFmt w:val="bullet"/>
      <w:lvlText w:val=""/>
      <w:lvlJc w:val="left"/>
      <w:pPr>
        <w:ind w:left="1572" w:hanging="360"/>
      </w:pPr>
      <w:rPr>
        <w:rFonts w:ascii="Wingdings" w:hAnsi="Wingdings" w:hint="default"/>
      </w:rPr>
    </w:lvl>
    <w:lvl w:ilvl="1" w:tplc="04070003" w:tentative="1">
      <w:start w:val="1"/>
      <w:numFmt w:val="bullet"/>
      <w:lvlText w:val="o"/>
      <w:lvlJc w:val="left"/>
      <w:pPr>
        <w:ind w:left="2292" w:hanging="360"/>
      </w:pPr>
      <w:rPr>
        <w:rFonts w:ascii="Courier New" w:hAnsi="Courier New" w:cs="Courier New" w:hint="default"/>
      </w:rPr>
    </w:lvl>
    <w:lvl w:ilvl="2" w:tplc="04070005" w:tentative="1">
      <w:start w:val="1"/>
      <w:numFmt w:val="bullet"/>
      <w:lvlText w:val=""/>
      <w:lvlJc w:val="left"/>
      <w:pPr>
        <w:ind w:left="3012" w:hanging="360"/>
      </w:pPr>
      <w:rPr>
        <w:rFonts w:ascii="Wingdings" w:hAnsi="Wingdings" w:hint="default"/>
      </w:rPr>
    </w:lvl>
    <w:lvl w:ilvl="3" w:tplc="04070001" w:tentative="1">
      <w:start w:val="1"/>
      <w:numFmt w:val="bullet"/>
      <w:lvlText w:val=""/>
      <w:lvlJc w:val="left"/>
      <w:pPr>
        <w:ind w:left="3732" w:hanging="360"/>
      </w:pPr>
      <w:rPr>
        <w:rFonts w:ascii="Symbol" w:hAnsi="Symbol" w:hint="default"/>
      </w:rPr>
    </w:lvl>
    <w:lvl w:ilvl="4" w:tplc="04070003" w:tentative="1">
      <w:start w:val="1"/>
      <w:numFmt w:val="bullet"/>
      <w:lvlText w:val="o"/>
      <w:lvlJc w:val="left"/>
      <w:pPr>
        <w:ind w:left="4452" w:hanging="360"/>
      </w:pPr>
      <w:rPr>
        <w:rFonts w:ascii="Courier New" w:hAnsi="Courier New" w:cs="Courier New" w:hint="default"/>
      </w:rPr>
    </w:lvl>
    <w:lvl w:ilvl="5" w:tplc="04070005" w:tentative="1">
      <w:start w:val="1"/>
      <w:numFmt w:val="bullet"/>
      <w:lvlText w:val=""/>
      <w:lvlJc w:val="left"/>
      <w:pPr>
        <w:ind w:left="5172" w:hanging="360"/>
      </w:pPr>
      <w:rPr>
        <w:rFonts w:ascii="Wingdings" w:hAnsi="Wingdings" w:hint="default"/>
      </w:rPr>
    </w:lvl>
    <w:lvl w:ilvl="6" w:tplc="04070001" w:tentative="1">
      <w:start w:val="1"/>
      <w:numFmt w:val="bullet"/>
      <w:lvlText w:val=""/>
      <w:lvlJc w:val="left"/>
      <w:pPr>
        <w:ind w:left="5892" w:hanging="360"/>
      </w:pPr>
      <w:rPr>
        <w:rFonts w:ascii="Symbol" w:hAnsi="Symbol" w:hint="default"/>
      </w:rPr>
    </w:lvl>
    <w:lvl w:ilvl="7" w:tplc="04070003" w:tentative="1">
      <w:start w:val="1"/>
      <w:numFmt w:val="bullet"/>
      <w:lvlText w:val="o"/>
      <w:lvlJc w:val="left"/>
      <w:pPr>
        <w:ind w:left="6612" w:hanging="360"/>
      </w:pPr>
      <w:rPr>
        <w:rFonts w:ascii="Courier New" w:hAnsi="Courier New" w:cs="Courier New" w:hint="default"/>
      </w:rPr>
    </w:lvl>
    <w:lvl w:ilvl="8" w:tplc="04070005" w:tentative="1">
      <w:start w:val="1"/>
      <w:numFmt w:val="bullet"/>
      <w:lvlText w:val=""/>
      <w:lvlJc w:val="left"/>
      <w:pPr>
        <w:ind w:left="7332" w:hanging="360"/>
      </w:pPr>
      <w:rPr>
        <w:rFonts w:ascii="Wingdings" w:hAnsi="Wingdings" w:hint="default"/>
      </w:rPr>
    </w:lvl>
  </w:abstractNum>
  <w:abstractNum w:abstractNumId="3" w15:restartNumberingAfterBreak="0">
    <w:nsid w:val="7F5D7306"/>
    <w:multiLevelType w:val="singleLevel"/>
    <w:tmpl w:val="4502BD84"/>
    <w:lvl w:ilvl="0">
      <w:start w:val="1"/>
      <w:numFmt w:val="decimal"/>
      <w:lvlText w:val="%1."/>
      <w:legacy w:legacy="1" w:legacySpace="0" w:legacyIndent="283"/>
      <w:lvlJc w:val="left"/>
      <w:pPr>
        <w:ind w:left="283" w:hanging="283"/>
      </w:pPr>
      <w:rPr>
        <w:strike w:val="0"/>
        <w:color w:val="auto"/>
      </w:rPr>
    </w:lvl>
  </w:abstractNum>
  <w:num w:numId="1" w16cid:durableId="1325282647">
    <w:abstractNumId w:val="3"/>
  </w:num>
  <w:num w:numId="2" w16cid:durableId="2089647158">
    <w:abstractNumId w:val="3"/>
    <w:lvlOverride w:ilvl="0">
      <w:lvl w:ilvl="0">
        <w:start w:val="6"/>
        <w:numFmt w:val="decimal"/>
        <w:lvlText w:val="%1."/>
        <w:legacy w:legacy="1" w:legacySpace="120" w:legacyIndent="283"/>
        <w:lvlJc w:val="left"/>
        <w:pPr>
          <w:ind w:left="283" w:hanging="283"/>
        </w:pPr>
      </w:lvl>
    </w:lvlOverride>
  </w:num>
  <w:num w:numId="3" w16cid:durableId="1995791123">
    <w:abstractNumId w:val="1"/>
  </w:num>
  <w:num w:numId="4" w16cid:durableId="747847479">
    <w:abstractNumId w:val="0"/>
  </w:num>
  <w:num w:numId="5" w16cid:durableId="1431047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autoHyphenation/>
  <w:hyphenationZone w:val="425"/>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2E92"/>
    <w:rsid w:val="00014525"/>
    <w:rsid w:val="00015DE3"/>
    <w:rsid w:val="000204C5"/>
    <w:rsid w:val="00031598"/>
    <w:rsid w:val="0003712E"/>
    <w:rsid w:val="000471BF"/>
    <w:rsid w:val="00050FB6"/>
    <w:rsid w:val="00065BE5"/>
    <w:rsid w:val="00086E2D"/>
    <w:rsid w:val="0008768C"/>
    <w:rsid w:val="0009230D"/>
    <w:rsid w:val="000B3BFB"/>
    <w:rsid w:val="000B7853"/>
    <w:rsid w:val="000E358B"/>
    <w:rsid w:val="00122BB9"/>
    <w:rsid w:val="0013473E"/>
    <w:rsid w:val="001429AE"/>
    <w:rsid w:val="00177A6C"/>
    <w:rsid w:val="001921D1"/>
    <w:rsid w:val="001E5355"/>
    <w:rsid w:val="002163CD"/>
    <w:rsid w:val="002227D9"/>
    <w:rsid w:val="00265915"/>
    <w:rsid w:val="002A5ABF"/>
    <w:rsid w:val="002D6629"/>
    <w:rsid w:val="002F4EF7"/>
    <w:rsid w:val="00342FB9"/>
    <w:rsid w:val="003750D0"/>
    <w:rsid w:val="003818BF"/>
    <w:rsid w:val="003D152F"/>
    <w:rsid w:val="003D758F"/>
    <w:rsid w:val="003F1950"/>
    <w:rsid w:val="003F4B89"/>
    <w:rsid w:val="00410104"/>
    <w:rsid w:val="00414B86"/>
    <w:rsid w:val="00433A66"/>
    <w:rsid w:val="004510B1"/>
    <w:rsid w:val="00453C82"/>
    <w:rsid w:val="00473082"/>
    <w:rsid w:val="00480772"/>
    <w:rsid w:val="0049681F"/>
    <w:rsid w:val="004A7534"/>
    <w:rsid w:val="004C6DC4"/>
    <w:rsid w:val="004D323A"/>
    <w:rsid w:val="004D46FC"/>
    <w:rsid w:val="004F3060"/>
    <w:rsid w:val="004F4D26"/>
    <w:rsid w:val="005101EC"/>
    <w:rsid w:val="005372D0"/>
    <w:rsid w:val="005473AB"/>
    <w:rsid w:val="00572E92"/>
    <w:rsid w:val="00580538"/>
    <w:rsid w:val="005A18D5"/>
    <w:rsid w:val="005A26CC"/>
    <w:rsid w:val="005A4808"/>
    <w:rsid w:val="005C1EFA"/>
    <w:rsid w:val="005E7AB5"/>
    <w:rsid w:val="00635DC7"/>
    <w:rsid w:val="0064529D"/>
    <w:rsid w:val="006627C2"/>
    <w:rsid w:val="00673A25"/>
    <w:rsid w:val="006843EE"/>
    <w:rsid w:val="006B09A4"/>
    <w:rsid w:val="006B5C75"/>
    <w:rsid w:val="006D1DB9"/>
    <w:rsid w:val="006D295B"/>
    <w:rsid w:val="006D2B2C"/>
    <w:rsid w:val="006D6C86"/>
    <w:rsid w:val="00700E4E"/>
    <w:rsid w:val="00722ED4"/>
    <w:rsid w:val="00726B85"/>
    <w:rsid w:val="00737CE1"/>
    <w:rsid w:val="00771BD7"/>
    <w:rsid w:val="00781048"/>
    <w:rsid w:val="007D537F"/>
    <w:rsid w:val="007E056E"/>
    <w:rsid w:val="007E7E52"/>
    <w:rsid w:val="0080578B"/>
    <w:rsid w:val="00813B72"/>
    <w:rsid w:val="008413CC"/>
    <w:rsid w:val="00851A26"/>
    <w:rsid w:val="00881E1B"/>
    <w:rsid w:val="008B484C"/>
    <w:rsid w:val="008C0666"/>
    <w:rsid w:val="008D2761"/>
    <w:rsid w:val="008D6D83"/>
    <w:rsid w:val="0092034A"/>
    <w:rsid w:val="00933830"/>
    <w:rsid w:val="0094304B"/>
    <w:rsid w:val="009466BD"/>
    <w:rsid w:val="00950909"/>
    <w:rsid w:val="00961695"/>
    <w:rsid w:val="00967DB0"/>
    <w:rsid w:val="0099632F"/>
    <w:rsid w:val="009E5C5B"/>
    <w:rsid w:val="00A16AFD"/>
    <w:rsid w:val="00A34C5D"/>
    <w:rsid w:val="00A40BE4"/>
    <w:rsid w:val="00A50F1C"/>
    <w:rsid w:val="00A829DC"/>
    <w:rsid w:val="00A915B6"/>
    <w:rsid w:val="00AA1850"/>
    <w:rsid w:val="00AA7808"/>
    <w:rsid w:val="00AB72F5"/>
    <w:rsid w:val="00AC5426"/>
    <w:rsid w:val="00AC7B2E"/>
    <w:rsid w:val="00AD402E"/>
    <w:rsid w:val="00AF23D5"/>
    <w:rsid w:val="00AF3F11"/>
    <w:rsid w:val="00B103DB"/>
    <w:rsid w:val="00B20D9A"/>
    <w:rsid w:val="00B5781C"/>
    <w:rsid w:val="00B802DF"/>
    <w:rsid w:val="00B84ABD"/>
    <w:rsid w:val="00BA64FE"/>
    <w:rsid w:val="00BF1438"/>
    <w:rsid w:val="00C40275"/>
    <w:rsid w:val="00C4749E"/>
    <w:rsid w:val="00C802A7"/>
    <w:rsid w:val="00C81438"/>
    <w:rsid w:val="00CB17C1"/>
    <w:rsid w:val="00CE410E"/>
    <w:rsid w:val="00CF7336"/>
    <w:rsid w:val="00D0452B"/>
    <w:rsid w:val="00D27F5D"/>
    <w:rsid w:val="00D87523"/>
    <w:rsid w:val="00D917C9"/>
    <w:rsid w:val="00DA7B88"/>
    <w:rsid w:val="00DB3785"/>
    <w:rsid w:val="00E11784"/>
    <w:rsid w:val="00E21F57"/>
    <w:rsid w:val="00E45FB0"/>
    <w:rsid w:val="00E558C2"/>
    <w:rsid w:val="00E83398"/>
    <w:rsid w:val="00E84E07"/>
    <w:rsid w:val="00E862B5"/>
    <w:rsid w:val="00E90698"/>
    <w:rsid w:val="00E9150D"/>
    <w:rsid w:val="00EA18A1"/>
    <w:rsid w:val="00EC360C"/>
    <w:rsid w:val="00EC4936"/>
    <w:rsid w:val="00EC6756"/>
    <w:rsid w:val="00EE0E20"/>
    <w:rsid w:val="00EE3D37"/>
    <w:rsid w:val="00EF3E39"/>
    <w:rsid w:val="00F0383B"/>
    <w:rsid w:val="00F17651"/>
    <w:rsid w:val="00F5290C"/>
    <w:rsid w:val="00F632FD"/>
    <w:rsid w:val="00F718C7"/>
    <w:rsid w:val="00F77E5B"/>
    <w:rsid w:val="00F83111"/>
    <w:rsid w:val="00F8381B"/>
    <w:rsid w:val="00F93E95"/>
    <w:rsid w:val="00FB43FE"/>
    <w:rsid w:val="00FC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99AC563"/>
  <w15:chartTrackingRefBased/>
  <w15:docId w15:val="{BA55978C-797E-4ECA-A005-79C5E0F5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s>
      <w:overflowPunct w:val="0"/>
      <w:autoSpaceDE w:val="0"/>
      <w:autoSpaceDN w:val="0"/>
      <w:adjustRightInd w:val="0"/>
      <w:spacing w:after="100" w:line="300" w:lineRule="atLeast"/>
      <w:textAlignment w:val="baseline"/>
    </w:pPr>
    <w:rPr>
      <w:rFonts w:ascii="Arial" w:hAnsi="Arial"/>
      <w:spacing w:val="6"/>
      <w:lang w:val="de-DE" w:eastAsia="de-D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pPr>
      <w:spacing w:after="0"/>
    </w:pPr>
  </w:style>
  <w:style w:type="paragraph" w:styleId="Kopfzeile">
    <w:name w:val="header"/>
    <w:basedOn w:val="Standard"/>
    <w:link w:val="KopfzeileZchn"/>
    <w:uiPriority w:val="99"/>
    <w:pPr>
      <w:tabs>
        <w:tab w:val="clear" w:pos="340"/>
        <w:tab w:val="clear" w:pos="680"/>
        <w:tab w:val="clear" w:pos="1021"/>
        <w:tab w:val="center" w:pos="4536"/>
        <w:tab w:val="right" w:pos="9072"/>
      </w:tabs>
    </w:pPr>
  </w:style>
  <w:style w:type="paragraph" w:styleId="Fuzeile">
    <w:name w:val="footer"/>
    <w:basedOn w:val="Standard"/>
    <w:link w:val="FuzeileZchn"/>
    <w:uiPriority w:val="99"/>
    <w:pPr>
      <w:tabs>
        <w:tab w:val="clear" w:pos="340"/>
        <w:tab w:val="clear" w:pos="680"/>
        <w:tab w:val="clear" w:pos="1021"/>
        <w:tab w:val="center" w:pos="4536"/>
        <w:tab w:val="right" w:pos="9072"/>
      </w:tabs>
    </w:pPr>
  </w:style>
  <w:style w:type="paragraph" w:customStyle="1" w:styleId="BalloonText">
    <w:name w:val="Balloon Text"/>
    <w:basedOn w:val="Standard"/>
    <w:rPr>
      <w:rFonts w:ascii="Tahoma" w:hAnsi="Tahoma"/>
      <w:sz w:val="16"/>
    </w:rPr>
  </w:style>
  <w:style w:type="paragraph" w:customStyle="1" w:styleId="BalloonText0">
    <w:name w:val="Balloon Text"/>
    <w:basedOn w:val="Standard"/>
    <w:rPr>
      <w:rFonts w:ascii="Tahoma" w:hAnsi="Tahoma"/>
      <w:sz w:val="16"/>
    </w:rPr>
  </w:style>
  <w:style w:type="character" w:styleId="Hyperlink">
    <w:name w:val="Hyperlink"/>
    <w:rPr>
      <w:color w:val="0000FF"/>
      <w:u w:val="single"/>
    </w:rPr>
  </w:style>
  <w:style w:type="paragraph" w:styleId="Listenabsatz">
    <w:name w:val="List Paragraph"/>
    <w:basedOn w:val="Standard"/>
    <w:uiPriority w:val="34"/>
    <w:qFormat/>
    <w:rsid w:val="005101EC"/>
    <w:pPr>
      <w:ind w:left="708"/>
    </w:pPr>
  </w:style>
  <w:style w:type="paragraph" w:styleId="Funotentext">
    <w:name w:val="footnote text"/>
    <w:basedOn w:val="Standard"/>
    <w:link w:val="FunotentextZchn"/>
    <w:uiPriority w:val="99"/>
    <w:unhideWhenUsed/>
    <w:rsid w:val="00B84ABD"/>
    <w:pPr>
      <w:tabs>
        <w:tab w:val="clear" w:pos="340"/>
        <w:tab w:val="clear" w:pos="680"/>
        <w:tab w:val="clear" w:pos="1021"/>
      </w:tabs>
      <w:overflowPunct/>
      <w:autoSpaceDE/>
      <w:autoSpaceDN/>
      <w:adjustRightInd/>
      <w:spacing w:after="0" w:line="240" w:lineRule="auto"/>
      <w:textAlignment w:val="auto"/>
    </w:pPr>
    <w:rPr>
      <w:rFonts w:ascii="Cambria" w:eastAsia="MS Mincho" w:hAnsi="Cambria"/>
      <w:spacing w:val="0"/>
      <w:sz w:val="24"/>
      <w:szCs w:val="24"/>
    </w:rPr>
  </w:style>
  <w:style w:type="character" w:customStyle="1" w:styleId="FunotentextZchn">
    <w:name w:val="Fußnotentext Zchn"/>
    <w:link w:val="Funotentext"/>
    <w:uiPriority w:val="99"/>
    <w:rsid w:val="00B84ABD"/>
    <w:rPr>
      <w:rFonts w:ascii="Cambria" w:eastAsia="MS Mincho" w:hAnsi="Cambria"/>
      <w:sz w:val="24"/>
      <w:szCs w:val="24"/>
    </w:rPr>
  </w:style>
  <w:style w:type="character" w:styleId="Funotenzeichen">
    <w:name w:val="footnote reference"/>
    <w:uiPriority w:val="99"/>
    <w:unhideWhenUsed/>
    <w:rsid w:val="00B84ABD"/>
    <w:rPr>
      <w:vertAlign w:val="superscript"/>
    </w:rPr>
  </w:style>
  <w:style w:type="paragraph" w:styleId="StandardWeb">
    <w:name w:val="Normal (Web)"/>
    <w:basedOn w:val="Standard"/>
    <w:uiPriority w:val="99"/>
    <w:unhideWhenUsed/>
    <w:rsid w:val="00B84ABD"/>
    <w:pPr>
      <w:tabs>
        <w:tab w:val="clear" w:pos="340"/>
        <w:tab w:val="clear" w:pos="680"/>
        <w:tab w:val="clear" w:pos="1021"/>
      </w:tabs>
      <w:overflowPunct/>
      <w:autoSpaceDE/>
      <w:autoSpaceDN/>
      <w:adjustRightInd/>
      <w:spacing w:before="100" w:beforeAutospacing="1" w:afterAutospacing="1" w:line="240" w:lineRule="auto"/>
      <w:textAlignment w:val="auto"/>
    </w:pPr>
    <w:rPr>
      <w:rFonts w:ascii="Times" w:eastAsia="MS Mincho" w:hAnsi="Times"/>
      <w:spacing w:val="0"/>
    </w:rPr>
  </w:style>
  <w:style w:type="character" w:customStyle="1" w:styleId="FuzeileZchn">
    <w:name w:val="Fußzeile Zchn"/>
    <w:link w:val="Fuzeile"/>
    <w:uiPriority w:val="99"/>
    <w:rsid w:val="00A829DC"/>
    <w:rPr>
      <w:rFonts w:ascii="Arial" w:hAnsi="Arial"/>
      <w:spacing w:val="6"/>
    </w:rPr>
  </w:style>
  <w:style w:type="character" w:styleId="BesuchterLink">
    <w:name w:val="FollowedHyperlink"/>
    <w:uiPriority w:val="99"/>
    <w:semiHidden/>
    <w:unhideWhenUsed/>
    <w:rsid w:val="00673A25"/>
    <w:rPr>
      <w:color w:val="954F72"/>
      <w:u w:val="single"/>
    </w:rPr>
  </w:style>
  <w:style w:type="character" w:styleId="Kommentarzeichen">
    <w:name w:val="annotation reference"/>
    <w:uiPriority w:val="99"/>
    <w:semiHidden/>
    <w:unhideWhenUsed/>
    <w:rsid w:val="00EF3E39"/>
    <w:rPr>
      <w:sz w:val="16"/>
      <w:szCs w:val="16"/>
    </w:rPr>
  </w:style>
  <w:style w:type="paragraph" w:styleId="Kommentartext">
    <w:name w:val="annotation text"/>
    <w:basedOn w:val="Standard"/>
    <w:link w:val="KommentartextZchn"/>
    <w:uiPriority w:val="99"/>
    <w:semiHidden/>
    <w:unhideWhenUsed/>
    <w:rsid w:val="00EF3E39"/>
  </w:style>
  <w:style w:type="character" w:customStyle="1" w:styleId="KommentartextZchn">
    <w:name w:val="Kommentartext Zchn"/>
    <w:link w:val="Kommentartext"/>
    <w:uiPriority w:val="99"/>
    <w:semiHidden/>
    <w:rsid w:val="00EF3E39"/>
    <w:rPr>
      <w:rFonts w:ascii="Arial" w:hAnsi="Arial"/>
      <w:spacing w:val="6"/>
      <w:lang w:val="de-DE" w:eastAsia="de-DE"/>
    </w:rPr>
  </w:style>
  <w:style w:type="paragraph" w:styleId="Kommentarthema">
    <w:name w:val="annotation subject"/>
    <w:basedOn w:val="Kommentartext"/>
    <w:next w:val="Kommentartext"/>
    <w:link w:val="KommentarthemaZchn"/>
    <w:uiPriority w:val="99"/>
    <w:semiHidden/>
    <w:unhideWhenUsed/>
    <w:rsid w:val="00EF3E39"/>
    <w:rPr>
      <w:b/>
      <w:bCs/>
    </w:rPr>
  </w:style>
  <w:style w:type="character" w:customStyle="1" w:styleId="KommentarthemaZchn">
    <w:name w:val="Kommentarthema Zchn"/>
    <w:link w:val="Kommentarthema"/>
    <w:uiPriority w:val="99"/>
    <w:semiHidden/>
    <w:rsid w:val="00EF3E39"/>
    <w:rPr>
      <w:rFonts w:ascii="Arial" w:hAnsi="Arial"/>
      <w:b/>
      <w:bCs/>
      <w:spacing w:val="6"/>
      <w:lang w:val="de-DE" w:eastAsia="de-DE"/>
    </w:rPr>
  </w:style>
  <w:style w:type="paragraph" w:styleId="Sprechblasentext">
    <w:name w:val="Balloon Text"/>
    <w:basedOn w:val="Standard"/>
    <w:link w:val="SprechblasentextZchn"/>
    <w:uiPriority w:val="99"/>
    <w:semiHidden/>
    <w:unhideWhenUsed/>
    <w:rsid w:val="00EF3E39"/>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EF3E39"/>
    <w:rPr>
      <w:rFonts w:ascii="Segoe UI" w:hAnsi="Segoe UI" w:cs="Segoe UI"/>
      <w:spacing w:val="6"/>
      <w:sz w:val="18"/>
      <w:szCs w:val="18"/>
      <w:lang w:val="de-DE" w:eastAsia="de-DE"/>
    </w:rPr>
  </w:style>
  <w:style w:type="character" w:customStyle="1" w:styleId="KopfzeileZchn">
    <w:name w:val="Kopfzeile Zchn"/>
    <w:link w:val="Kopfzeile"/>
    <w:uiPriority w:val="99"/>
    <w:rsid w:val="000204C5"/>
    <w:rPr>
      <w:rFonts w:ascii="Arial" w:hAnsi="Arial"/>
      <w:spacing w:val="6"/>
      <w:lang w:val="de-DE" w:eastAsia="de-DE"/>
    </w:rPr>
  </w:style>
  <w:style w:type="paragraph" w:styleId="KeinLeerraum">
    <w:name w:val="No Spacing"/>
    <w:uiPriority w:val="1"/>
    <w:qFormat/>
    <w:rsid w:val="00F0383B"/>
    <w:rPr>
      <w:rFonts w:ascii="Calibri" w:eastAsia="Calibri" w:hAnsi="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72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irol.gv.at/gesundheit-vorsorge/krankenanstalten/qfp-projek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4794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Vergabekriterien für das Qualitätsförderungsprogramm des Tiroler Gesundheitsfonds</vt:lpstr>
    </vt:vector>
  </TitlesOfParts>
  <Company>Land Tirol</Company>
  <LinksUpToDate>false</LinksUpToDate>
  <CharactersWithSpaces>5543</CharactersWithSpaces>
  <SharedDoc>false</SharedDoc>
  <HLinks>
    <vt:vector size="6" baseType="variant">
      <vt:variant>
        <vt:i4>3014692</vt:i4>
      </vt:variant>
      <vt:variant>
        <vt:i4>0</vt:i4>
      </vt:variant>
      <vt:variant>
        <vt:i4>0</vt:i4>
      </vt:variant>
      <vt:variant>
        <vt:i4>5</vt:i4>
      </vt:variant>
      <vt:variant>
        <vt:lpwstr>https://www.tirol.gv.at/gesundheit-vorsorge/krankenanstalten/qfp-projekte/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Vergabekriterien für das Qualitätsförderungsprogramm des Tiroler Gesundheitsfonds</dc:title>
  <dc:subject/>
  <dc:creator>U0153435</dc:creator>
  <cp:keywords/>
  <cp:lastModifiedBy>LEDERLE Karl</cp:lastModifiedBy>
  <cp:revision>2</cp:revision>
  <cp:lastPrinted>2025-02-26T09:59:00Z</cp:lastPrinted>
  <dcterms:created xsi:type="dcterms:W3CDTF">2026-01-21T08:48:00Z</dcterms:created>
  <dcterms:modified xsi:type="dcterms:W3CDTF">2026-01-21T08:48:00Z</dcterms:modified>
</cp:coreProperties>
</file>