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969F" w14:textId="5744C072" w:rsidR="00954BF6" w:rsidRDefault="00954BF6" w:rsidP="0029277F">
      <w:pPr>
        <w:pStyle w:val="KeinLeerraum"/>
        <w:jc w:val="center"/>
        <w:rPr>
          <w:b/>
          <w:sz w:val="48"/>
        </w:rPr>
      </w:pPr>
      <w:r w:rsidRPr="00954BF6">
        <w:rPr>
          <w:b/>
          <w:sz w:val="48"/>
        </w:rPr>
        <w:t xml:space="preserve">Qualitätsförderungsstrategie </w:t>
      </w:r>
      <w:r w:rsidR="0029277F" w:rsidRPr="0029277F">
        <w:rPr>
          <w:b/>
          <w:noProof/>
          <w:sz w:val="48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1B6C8F46" wp14:editId="46D83B6C">
            <wp:simplePos x="0" y="0"/>
            <wp:positionH relativeFrom="column">
              <wp:posOffset>4713605</wp:posOffset>
            </wp:positionH>
            <wp:positionV relativeFrom="paragraph">
              <wp:posOffset>1905</wp:posOffset>
            </wp:positionV>
            <wp:extent cx="1048385" cy="1048385"/>
            <wp:effectExtent l="0" t="0" r="0" b="0"/>
            <wp:wrapTight wrapText="bothSides">
              <wp:wrapPolygon edited="0">
                <wp:start x="0" y="0"/>
                <wp:lineTo x="0" y="21194"/>
                <wp:lineTo x="21194" y="21194"/>
                <wp:lineTo x="2119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B47B4" w14:textId="706C7227" w:rsidR="00954BF6" w:rsidRDefault="00954BF6" w:rsidP="0029277F">
      <w:pPr>
        <w:pStyle w:val="KeinLeerraum"/>
        <w:jc w:val="center"/>
        <w:rPr>
          <w:b/>
          <w:sz w:val="48"/>
        </w:rPr>
      </w:pPr>
      <w:r w:rsidRPr="00954BF6">
        <w:rPr>
          <w:b/>
          <w:sz w:val="48"/>
        </w:rPr>
        <w:t>des</w:t>
      </w:r>
    </w:p>
    <w:p w14:paraId="7EAA741E" w14:textId="4E1FD5E2" w:rsidR="00FC61C5" w:rsidRPr="00954BF6" w:rsidRDefault="00BB3C26" w:rsidP="0029277F">
      <w:pPr>
        <w:pStyle w:val="KeinLeerraum"/>
        <w:jc w:val="center"/>
        <w:rPr>
          <w:b/>
          <w:sz w:val="48"/>
        </w:rPr>
      </w:pPr>
      <w:r>
        <w:rPr>
          <w:b/>
          <w:sz w:val="48"/>
        </w:rPr>
        <w:t>Tiroler Gesundheitsfonds 2030</w:t>
      </w:r>
    </w:p>
    <w:p w14:paraId="6C3597C9" w14:textId="77777777" w:rsidR="00954BF6" w:rsidRDefault="00954BF6" w:rsidP="00954BF6">
      <w:pPr>
        <w:pStyle w:val="KeinLeerraum"/>
      </w:pPr>
    </w:p>
    <w:p w14:paraId="5F0CE1A5" w14:textId="77777777" w:rsidR="00954BF6" w:rsidRDefault="00954BF6" w:rsidP="00954BF6">
      <w:pPr>
        <w:pStyle w:val="KeinLeerraum"/>
      </w:pPr>
    </w:p>
    <w:p w14:paraId="0C3958E0" w14:textId="06EA057D" w:rsidR="00954BF6" w:rsidRPr="00954BF6" w:rsidRDefault="00BB3C26" w:rsidP="00954BF6">
      <w:pPr>
        <w:pStyle w:val="KeinLeerraum"/>
        <w:rPr>
          <w:b/>
          <w:sz w:val="28"/>
          <w:u w:val="single"/>
        </w:rPr>
      </w:pPr>
      <w:r>
        <w:rPr>
          <w:b/>
          <w:sz w:val="28"/>
          <w:u w:val="single"/>
        </w:rPr>
        <w:t>Vision 2030</w:t>
      </w:r>
      <w:r w:rsidR="00954BF6" w:rsidRPr="00954BF6">
        <w:rPr>
          <w:b/>
          <w:sz w:val="28"/>
          <w:u w:val="single"/>
        </w:rPr>
        <w:t xml:space="preserve">: </w:t>
      </w:r>
    </w:p>
    <w:p w14:paraId="0F134C5D" w14:textId="77777777" w:rsidR="00954BF6" w:rsidRDefault="00954BF6" w:rsidP="00954BF6">
      <w:pPr>
        <w:pStyle w:val="KeinLeerraum"/>
        <w:spacing w:line="360" w:lineRule="auto"/>
        <w:jc w:val="both"/>
        <w:rPr>
          <w:sz w:val="24"/>
        </w:rPr>
      </w:pPr>
      <w:r w:rsidRPr="00954BF6">
        <w:rPr>
          <w:sz w:val="24"/>
        </w:rPr>
        <w:t xml:space="preserve">Der TGF wirkt aktiv an der Verbesserung der Gesundheitsversorgung der in Tirol lebenden Menschen mit. </w:t>
      </w:r>
    </w:p>
    <w:p w14:paraId="72654E18" w14:textId="41C906E6" w:rsidR="00954BF6" w:rsidRDefault="00954BF6" w:rsidP="00954BF6">
      <w:pPr>
        <w:pStyle w:val="KeinLeerraum"/>
        <w:spacing w:line="360" w:lineRule="auto"/>
        <w:jc w:val="both"/>
        <w:rPr>
          <w:sz w:val="24"/>
        </w:rPr>
      </w:pPr>
      <w:r w:rsidRPr="00954BF6">
        <w:rPr>
          <w:sz w:val="24"/>
        </w:rPr>
        <w:t>Er unterstützt partnerschaftlich und koordiniert die Tiroler Fondskrankenanstalten in ihren Bestrebungen, die Sicherheit und Qualität der Versorgung für die ihnen anvertrauten Patientinnen und Patienten nach den Grundsätzen der Gerechtigkeit, Angemessenhe</w:t>
      </w:r>
      <w:r w:rsidR="00C044A4">
        <w:rPr>
          <w:sz w:val="24"/>
        </w:rPr>
        <w:t xml:space="preserve">it, Effektivität und Effizienz und </w:t>
      </w:r>
      <w:r w:rsidR="0029277F" w:rsidRPr="00954BF6">
        <w:rPr>
          <w:sz w:val="24"/>
        </w:rPr>
        <w:t xml:space="preserve">Nachhaltigkeit </w:t>
      </w:r>
      <w:r w:rsidRPr="00954BF6">
        <w:rPr>
          <w:sz w:val="24"/>
        </w:rPr>
        <w:t>kontinuierlich zu verbessern</w:t>
      </w:r>
      <w:r w:rsidR="005F351C">
        <w:rPr>
          <w:sz w:val="24"/>
        </w:rPr>
        <w:t>,</w:t>
      </w:r>
      <w:r w:rsidRPr="00954BF6">
        <w:rPr>
          <w:sz w:val="24"/>
        </w:rPr>
        <w:t xml:space="preserve"> wobei der interdisziplinären und interprofessionellen prozessbezogenen Zusammenarbeit ein großer Stellenwert eingeräumt wird.</w:t>
      </w:r>
    </w:p>
    <w:p w14:paraId="3371E568" w14:textId="77777777" w:rsidR="00954BF6" w:rsidRPr="00954BF6" w:rsidRDefault="00954BF6" w:rsidP="00954BF6">
      <w:pPr>
        <w:pStyle w:val="KeinLeerraum"/>
        <w:spacing w:line="360" w:lineRule="auto"/>
        <w:jc w:val="both"/>
        <w:rPr>
          <w:sz w:val="24"/>
          <w:lang w:val="de-AT"/>
        </w:rPr>
      </w:pPr>
      <w:r w:rsidRPr="00954BF6">
        <w:rPr>
          <w:sz w:val="24"/>
        </w:rPr>
        <w:t>Er bietet den Tiroler Fondskrankenanstalten Orientierungshilfe, Vernetzung und finanzielle Unterstützung in der Umsetzung von Qualitätsverbesserungsmaßnahmen und ist Ansprechpartner für alle Systempartner.</w:t>
      </w:r>
    </w:p>
    <w:p w14:paraId="337A95D5" w14:textId="77777777" w:rsidR="00954BF6" w:rsidRDefault="00954BF6" w:rsidP="00954BF6">
      <w:pPr>
        <w:pStyle w:val="KeinLeerraum"/>
        <w:spacing w:line="360" w:lineRule="auto"/>
        <w:rPr>
          <w:sz w:val="24"/>
          <w:lang w:val="de-AT"/>
        </w:rPr>
      </w:pPr>
    </w:p>
    <w:p w14:paraId="00D2D810" w14:textId="7CDEABB1" w:rsidR="00954BF6" w:rsidRPr="00954BF6" w:rsidRDefault="00BB3C26" w:rsidP="00954BF6">
      <w:pPr>
        <w:pStyle w:val="KeinLeerraum"/>
        <w:rPr>
          <w:b/>
          <w:sz w:val="28"/>
          <w:u w:val="single"/>
        </w:rPr>
      </w:pPr>
      <w:r>
        <w:rPr>
          <w:b/>
          <w:sz w:val="28"/>
          <w:u w:val="single"/>
        </w:rPr>
        <w:t>Strategie 2030</w:t>
      </w:r>
      <w:r w:rsidR="00954BF6" w:rsidRPr="00954BF6">
        <w:rPr>
          <w:b/>
          <w:sz w:val="28"/>
          <w:u w:val="single"/>
        </w:rPr>
        <w:t>:</w:t>
      </w:r>
    </w:p>
    <w:p w14:paraId="33B77C76" w14:textId="77777777" w:rsidR="00954BF6" w:rsidRDefault="00954BF6" w:rsidP="00954BF6">
      <w:pPr>
        <w:pStyle w:val="KeinLeerraum"/>
        <w:spacing w:line="360" w:lineRule="auto"/>
        <w:jc w:val="both"/>
        <w:rPr>
          <w:sz w:val="24"/>
        </w:rPr>
      </w:pPr>
    </w:p>
    <w:p w14:paraId="212E7983" w14:textId="77777777" w:rsidR="00954BF6" w:rsidRDefault="00954BF6" w:rsidP="00954BF6">
      <w:pPr>
        <w:pStyle w:val="KeinLeerraum"/>
        <w:spacing w:line="360" w:lineRule="auto"/>
        <w:jc w:val="both"/>
        <w:rPr>
          <w:sz w:val="24"/>
        </w:rPr>
      </w:pPr>
      <w:r w:rsidRPr="00954BF6">
        <w:rPr>
          <w:b/>
          <w:sz w:val="24"/>
        </w:rPr>
        <w:t>Ziel 1:</w:t>
      </w:r>
      <w:r>
        <w:rPr>
          <w:sz w:val="24"/>
        </w:rPr>
        <w:t xml:space="preserve"> Alle Krankenanstalten haben systematische und nachhaltige Strukturen des Risiko- und Fehlermanagements.</w:t>
      </w:r>
    </w:p>
    <w:p w14:paraId="671D05D3" w14:textId="77777777" w:rsidR="00954BF6" w:rsidRDefault="00954BF6" w:rsidP="00954BF6">
      <w:pPr>
        <w:pStyle w:val="KeinLeerraum"/>
        <w:spacing w:line="360" w:lineRule="auto"/>
        <w:jc w:val="both"/>
        <w:rPr>
          <w:sz w:val="24"/>
        </w:rPr>
      </w:pPr>
      <w:r w:rsidRPr="00954BF6">
        <w:rPr>
          <w:b/>
          <w:sz w:val="24"/>
        </w:rPr>
        <w:t>Ziel 2:</w:t>
      </w:r>
      <w:r>
        <w:rPr>
          <w:sz w:val="24"/>
        </w:rPr>
        <w:t xml:space="preserve"> Alle Krankenanstalten verfügen ihrem Versorgungsauftrag entsprechend über ein angemessenes und vergleichbares prozessorientiertes QM-System.</w:t>
      </w:r>
    </w:p>
    <w:p w14:paraId="32813DAF" w14:textId="77777777" w:rsidR="00954BF6" w:rsidRDefault="00954BF6" w:rsidP="00954BF6">
      <w:pPr>
        <w:pStyle w:val="KeinLeerraum"/>
        <w:spacing w:line="360" w:lineRule="auto"/>
        <w:jc w:val="both"/>
        <w:rPr>
          <w:sz w:val="24"/>
        </w:rPr>
      </w:pPr>
      <w:r w:rsidRPr="00954BF6">
        <w:rPr>
          <w:b/>
          <w:sz w:val="24"/>
        </w:rPr>
        <w:t>Ziel 3:</w:t>
      </w:r>
      <w:r>
        <w:rPr>
          <w:sz w:val="24"/>
        </w:rPr>
        <w:t xml:space="preserve"> Alle Krankenanstalten sind bzgl. Ihres QM-Systems untereinander und mit dem TGF vernetzt.</w:t>
      </w:r>
    </w:p>
    <w:p w14:paraId="5E44A732" w14:textId="77777777" w:rsidR="00BB3C26" w:rsidRDefault="00954BF6" w:rsidP="00954BF6">
      <w:pPr>
        <w:pStyle w:val="KeinLeerraum"/>
        <w:spacing w:line="360" w:lineRule="auto"/>
        <w:jc w:val="both"/>
        <w:rPr>
          <w:sz w:val="24"/>
        </w:rPr>
      </w:pPr>
      <w:r w:rsidRPr="00954BF6">
        <w:rPr>
          <w:b/>
          <w:sz w:val="24"/>
        </w:rPr>
        <w:t>Ziel 4:</w:t>
      </w:r>
      <w:r>
        <w:rPr>
          <w:sz w:val="24"/>
        </w:rPr>
        <w:t xml:space="preserve"> Der TGF bietet den Krankenanstalten Orientierungshilfe und gibt Empfehlungen zur </w:t>
      </w:r>
    </w:p>
    <w:p w14:paraId="5A4378F0" w14:textId="3EF2A1BE" w:rsidR="004373AA" w:rsidRDefault="00954BF6" w:rsidP="00954BF6">
      <w:pPr>
        <w:pStyle w:val="KeinLeerraum"/>
        <w:spacing w:line="360" w:lineRule="auto"/>
        <w:jc w:val="both"/>
        <w:rPr>
          <w:sz w:val="24"/>
        </w:rPr>
      </w:pPr>
      <w:r>
        <w:rPr>
          <w:sz w:val="24"/>
        </w:rPr>
        <w:t>Qualitätsentwicklung.</w:t>
      </w:r>
    </w:p>
    <w:p w14:paraId="5A77BBDA" w14:textId="7955F804" w:rsidR="0096357A" w:rsidRPr="00FE095A" w:rsidRDefault="00BB3C26" w:rsidP="00D048AB">
      <w:pPr>
        <w:pStyle w:val="KeinLeerraum"/>
        <w:spacing w:line="360" w:lineRule="auto"/>
        <w:rPr>
          <w:color w:val="FF0000"/>
          <w:sz w:val="24"/>
        </w:rPr>
        <w:sectPr w:rsidR="0096357A" w:rsidRPr="00FE095A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D048AB">
        <w:rPr>
          <w:b/>
          <w:sz w:val="24"/>
        </w:rPr>
        <w:t>Ziel 5:</w:t>
      </w:r>
      <w:r w:rsidRPr="00D048AB">
        <w:rPr>
          <w:sz w:val="24"/>
        </w:rPr>
        <w:t xml:space="preserve"> </w:t>
      </w:r>
      <w:r w:rsidR="00D048AB" w:rsidRPr="00D048AB">
        <w:rPr>
          <w:sz w:val="24"/>
        </w:rPr>
        <w:t xml:space="preserve"> </w:t>
      </w:r>
      <w:r w:rsidR="00D048AB" w:rsidRPr="008C3B5A">
        <w:rPr>
          <w:sz w:val="24"/>
        </w:rPr>
        <w:t>Der TGF fördert die Krankenanstalten bei der Einführung, Etablierung und Harmonisierung von digitalen Anwendungen und KI-Instrumenten, soweit sie den Vorgaben des QFP entsprechen.</w:t>
      </w:r>
    </w:p>
    <w:p w14:paraId="698367FA" w14:textId="7E09BE9C" w:rsidR="00954BF6" w:rsidRPr="00954BF6" w:rsidRDefault="00F44C1C" w:rsidP="00F44C1C">
      <w:pPr>
        <w:pStyle w:val="KeinLeerraum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S</w:t>
      </w:r>
      <w:r w:rsidR="00954BF6" w:rsidRPr="00954BF6">
        <w:rPr>
          <w:b/>
          <w:sz w:val="28"/>
          <w:u w:val="single"/>
        </w:rPr>
        <w:t>trategische und op</w:t>
      </w:r>
      <w:r w:rsidR="00BB3C26">
        <w:rPr>
          <w:b/>
          <w:sz w:val="28"/>
          <w:u w:val="single"/>
        </w:rPr>
        <w:t>erative Ziele mit Maßnahmen 2030</w:t>
      </w:r>
    </w:p>
    <w:p w14:paraId="7138C506" w14:textId="77777777" w:rsidR="00954BF6" w:rsidRDefault="00954BF6" w:rsidP="00954BF6">
      <w:pPr>
        <w:pStyle w:val="KeinLeerraum"/>
        <w:spacing w:line="360" w:lineRule="auto"/>
        <w:jc w:val="both"/>
        <w:rPr>
          <w:sz w:val="24"/>
        </w:rPr>
      </w:pPr>
    </w:p>
    <w:tbl>
      <w:tblPr>
        <w:tblStyle w:val="Tabellenraster"/>
        <w:tblW w:w="14426" w:type="dxa"/>
        <w:tblLook w:val="04A0" w:firstRow="1" w:lastRow="0" w:firstColumn="1" w:lastColumn="0" w:noHBand="0" w:noVBand="1"/>
      </w:tblPr>
      <w:tblGrid>
        <w:gridCol w:w="2802"/>
        <w:gridCol w:w="5528"/>
        <w:gridCol w:w="6096"/>
      </w:tblGrid>
      <w:tr w:rsidR="004373AA" w14:paraId="2F9615B0" w14:textId="77777777" w:rsidTr="001B0C3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EB63E7" w14:textId="77777777" w:rsidR="004373AA" w:rsidRPr="004373AA" w:rsidRDefault="004373AA" w:rsidP="004373AA">
            <w:pPr>
              <w:pStyle w:val="KeinLeerraum"/>
              <w:spacing w:line="360" w:lineRule="auto"/>
              <w:jc w:val="center"/>
              <w:rPr>
                <w:b/>
                <w:sz w:val="24"/>
              </w:rPr>
            </w:pPr>
            <w:r w:rsidRPr="004373AA">
              <w:rPr>
                <w:b/>
                <w:sz w:val="24"/>
              </w:rPr>
              <w:t>Strategisches Ziel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6645DF9" w14:textId="77777777" w:rsidR="004373AA" w:rsidRPr="004373AA" w:rsidRDefault="004373AA" w:rsidP="004373AA">
            <w:pPr>
              <w:pStyle w:val="KeinLeerraum"/>
              <w:spacing w:line="360" w:lineRule="auto"/>
              <w:jc w:val="center"/>
              <w:rPr>
                <w:b/>
                <w:sz w:val="24"/>
              </w:rPr>
            </w:pPr>
            <w:r w:rsidRPr="004373AA">
              <w:rPr>
                <w:b/>
                <w:sz w:val="24"/>
              </w:rPr>
              <w:t>Operatives Ziel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375F71F" w14:textId="77777777" w:rsidR="004373AA" w:rsidRPr="004373AA" w:rsidRDefault="004373AA" w:rsidP="004373AA">
            <w:pPr>
              <w:pStyle w:val="KeinLeerraum"/>
              <w:spacing w:line="360" w:lineRule="auto"/>
              <w:jc w:val="center"/>
              <w:rPr>
                <w:b/>
                <w:sz w:val="24"/>
              </w:rPr>
            </w:pPr>
            <w:r w:rsidRPr="004373AA">
              <w:rPr>
                <w:b/>
                <w:sz w:val="24"/>
              </w:rPr>
              <w:t>Maßnahmen</w:t>
            </w:r>
          </w:p>
        </w:tc>
      </w:tr>
      <w:tr w:rsidR="00954BF6" w14:paraId="42B518CD" w14:textId="77777777" w:rsidTr="001B0C36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BCAC7F9" w14:textId="77777777" w:rsidR="00954BF6" w:rsidRDefault="00954BF6" w:rsidP="004373AA">
            <w:pPr>
              <w:pStyle w:val="KeinLeerraum"/>
              <w:jc w:val="center"/>
              <w:rPr>
                <w:sz w:val="24"/>
              </w:rPr>
            </w:pPr>
            <w:r w:rsidRPr="00954BF6">
              <w:rPr>
                <w:b/>
                <w:sz w:val="24"/>
              </w:rPr>
              <w:t>Ziel 1:</w:t>
            </w:r>
            <w:r>
              <w:rPr>
                <w:sz w:val="24"/>
              </w:rPr>
              <w:t xml:space="preserve"> Alle Krankenanstalten haben systematische und nachhaltige Strukturen des Risiko- und Fehlermanagements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D66566E" w14:textId="77777777" w:rsidR="00954BF6" w:rsidRDefault="00954BF6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Die Tiroler Krankenhäuser befinden sich im Wandel zu fehleroffenen und lernenden Organisationen an dem alle Mitarbeiter aktiv beteiligt sind.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A0E6B8F" w14:textId="55033708" w:rsidR="00954BF6" w:rsidRDefault="00617D3A" w:rsidP="00C044A4">
            <w:pPr>
              <w:pStyle w:val="KeinLeerraum"/>
              <w:numPr>
                <w:ilvl w:val="0"/>
                <w:numId w:val="1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Ausarbeitung</w:t>
            </w:r>
            <w:r w:rsidR="004373AA">
              <w:rPr>
                <w:sz w:val="24"/>
              </w:rPr>
              <w:t xml:space="preserve"> ein</w:t>
            </w:r>
            <w:r>
              <w:rPr>
                <w:sz w:val="24"/>
              </w:rPr>
              <w:t>es</w:t>
            </w:r>
            <w:r w:rsidR="004373AA">
              <w:rPr>
                <w:sz w:val="24"/>
              </w:rPr>
              <w:t xml:space="preserve"> Konzept</w:t>
            </w:r>
            <w:r w:rsidR="00855F9D">
              <w:rPr>
                <w:sz w:val="24"/>
              </w:rPr>
              <w:t>es</w:t>
            </w:r>
            <w:r w:rsidR="004373AA">
              <w:rPr>
                <w:sz w:val="24"/>
              </w:rPr>
              <w:t xml:space="preserve"> für </w:t>
            </w:r>
            <w:r>
              <w:rPr>
                <w:sz w:val="24"/>
              </w:rPr>
              <w:t xml:space="preserve">interne </w:t>
            </w:r>
            <w:r w:rsidR="004373AA">
              <w:rPr>
                <w:sz w:val="24"/>
              </w:rPr>
              <w:t>Systemaudits</w:t>
            </w:r>
            <w:r>
              <w:rPr>
                <w:sz w:val="24"/>
              </w:rPr>
              <w:t xml:space="preserve"> durch die QM</w:t>
            </w:r>
            <w:r w:rsidR="00C044A4">
              <w:rPr>
                <w:sz w:val="24"/>
              </w:rPr>
              <w:t>&amp;RM</w:t>
            </w:r>
            <w:r>
              <w:rPr>
                <w:sz w:val="24"/>
              </w:rPr>
              <w:t xml:space="preserve"> Plattform</w:t>
            </w:r>
            <w:r w:rsidR="004373AA">
              <w:rPr>
                <w:sz w:val="24"/>
              </w:rPr>
              <w:t>.</w:t>
            </w:r>
          </w:p>
          <w:p w14:paraId="16415698" w14:textId="3A7FB08F" w:rsidR="004373AA" w:rsidRPr="00617D3A" w:rsidRDefault="00617D3A" w:rsidP="00C044A4">
            <w:pPr>
              <w:pStyle w:val="KeinLeerraum"/>
              <w:numPr>
                <w:ilvl w:val="0"/>
                <w:numId w:val="1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Gründung eines krankenhäuserübergr</w:t>
            </w:r>
            <w:r w:rsidRPr="00617D3A">
              <w:rPr>
                <w:sz w:val="24"/>
              </w:rPr>
              <w:t>e</w:t>
            </w:r>
            <w:r>
              <w:rPr>
                <w:sz w:val="24"/>
              </w:rPr>
              <w:t>i</w:t>
            </w:r>
            <w:r w:rsidRPr="00617D3A">
              <w:rPr>
                <w:sz w:val="24"/>
              </w:rPr>
              <w:t>fenden Auditorenpools</w:t>
            </w:r>
            <w:r>
              <w:rPr>
                <w:sz w:val="24"/>
              </w:rPr>
              <w:t xml:space="preserve"> </w:t>
            </w:r>
            <w:r w:rsidR="00855F9D">
              <w:rPr>
                <w:sz w:val="24"/>
              </w:rPr>
              <w:t>unter Federführung der</w:t>
            </w:r>
            <w:r>
              <w:rPr>
                <w:sz w:val="24"/>
              </w:rPr>
              <w:t xml:space="preserve"> QM</w:t>
            </w:r>
            <w:r w:rsidR="00C044A4">
              <w:rPr>
                <w:sz w:val="24"/>
              </w:rPr>
              <w:t>&amp;RM</w:t>
            </w:r>
            <w:r>
              <w:rPr>
                <w:sz w:val="24"/>
              </w:rPr>
              <w:t xml:space="preserve"> Plattform zur gegenseitigen</w:t>
            </w:r>
            <w:r w:rsidR="00C044A4">
              <w:rPr>
                <w:sz w:val="24"/>
              </w:rPr>
              <w:t xml:space="preserve"> Auditierung der Mindeststandards.</w:t>
            </w:r>
            <w:r>
              <w:rPr>
                <w:sz w:val="24"/>
              </w:rPr>
              <w:t xml:space="preserve"> </w:t>
            </w:r>
          </w:p>
          <w:p w14:paraId="63A3D29E" w14:textId="4B2E5CC7" w:rsidR="004373AA" w:rsidRDefault="00855F9D" w:rsidP="00C044A4">
            <w:pPr>
              <w:pStyle w:val="KeinLeerraum"/>
              <w:numPr>
                <w:ilvl w:val="0"/>
                <w:numId w:val="1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Gemeinsame E</w:t>
            </w:r>
            <w:r w:rsidR="004373AA">
              <w:rPr>
                <w:sz w:val="24"/>
              </w:rPr>
              <w:t>r</w:t>
            </w:r>
            <w:r>
              <w:rPr>
                <w:sz w:val="24"/>
              </w:rPr>
              <w:t>arbeitung</w:t>
            </w:r>
            <w:r w:rsidR="004373AA">
              <w:rPr>
                <w:sz w:val="24"/>
              </w:rPr>
              <w:t xml:space="preserve"> </w:t>
            </w:r>
            <w:r w:rsidR="00C044A4">
              <w:rPr>
                <w:sz w:val="24"/>
              </w:rPr>
              <w:t>und B</w:t>
            </w:r>
            <w:r w:rsidR="0029277F">
              <w:rPr>
                <w:sz w:val="24"/>
              </w:rPr>
              <w:t xml:space="preserve">ereitstellen </w:t>
            </w:r>
            <w:r w:rsidR="004373AA">
              <w:rPr>
                <w:sz w:val="24"/>
              </w:rPr>
              <w:t>eine</w:t>
            </w:r>
            <w:r w:rsidR="00617D3A">
              <w:rPr>
                <w:sz w:val="24"/>
              </w:rPr>
              <w:t>s</w:t>
            </w:r>
            <w:r w:rsidR="004373AA">
              <w:rPr>
                <w:sz w:val="24"/>
              </w:rPr>
              <w:t xml:space="preserve"> Leitfaden</w:t>
            </w:r>
            <w:r>
              <w:rPr>
                <w:sz w:val="24"/>
              </w:rPr>
              <w:t>s</w:t>
            </w:r>
            <w:r w:rsidR="004373AA">
              <w:rPr>
                <w:sz w:val="24"/>
              </w:rPr>
              <w:t xml:space="preserve"> für M+M-Konferenzen</w:t>
            </w:r>
            <w:r w:rsidR="00617D3A">
              <w:rPr>
                <w:sz w:val="24"/>
              </w:rPr>
              <w:t xml:space="preserve"> in Zusammenarbeit </w:t>
            </w:r>
            <w:r>
              <w:rPr>
                <w:sz w:val="24"/>
              </w:rPr>
              <w:t>von</w:t>
            </w:r>
            <w:r w:rsidR="00617D3A">
              <w:rPr>
                <w:sz w:val="24"/>
              </w:rPr>
              <w:t xml:space="preserve"> QSK, QM</w:t>
            </w:r>
            <w:r w:rsidR="00C044A4">
              <w:rPr>
                <w:sz w:val="24"/>
              </w:rPr>
              <w:t>&amp;RM</w:t>
            </w:r>
            <w:r w:rsidR="00617D3A">
              <w:rPr>
                <w:sz w:val="24"/>
              </w:rPr>
              <w:t xml:space="preserve"> Plattform und </w:t>
            </w:r>
            <w:r>
              <w:rPr>
                <w:sz w:val="24"/>
              </w:rPr>
              <w:t xml:space="preserve">ARGE </w:t>
            </w:r>
            <w:r w:rsidR="00617D3A">
              <w:rPr>
                <w:sz w:val="24"/>
              </w:rPr>
              <w:t>Ärztlichen Direktoren</w:t>
            </w:r>
            <w:r w:rsidR="004373AA">
              <w:rPr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 w:rsidR="00617D3A">
              <w:rPr>
                <w:sz w:val="24"/>
              </w:rPr>
              <w:t xml:space="preserve"> </w:t>
            </w:r>
            <w:r>
              <w:rPr>
                <w:sz w:val="24"/>
              </w:rPr>
              <w:t>Umsetzung dessen in allen Tiroler Fondskrankenastalten.</w:t>
            </w:r>
          </w:p>
          <w:p w14:paraId="1ED3E997" w14:textId="2762675A" w:rsidR="004373AA" w:rsidRDefault="004373AA" w:rsidP="00C044A4">
            <w:pPr>
              <w:pStyle w:val="KeinLeerraum"/>
              <w:numPr>
                <w:ilvl w:val="0"/>
                <w:numId w:val="1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M+M Konferenzen </w:t>
            </w:r>
            <w:r w:rsidR="00855F9D">
              <w:rPr>
                <w:sz w:val="24"/>
              </w:rPr>
              <w:t>sind Bestandteil des</w:t>
            </w:r>
            <w:r>
              <w:rPr>
                <w:sz w:val="24"/>
              </w:rPr>
              <w:t xml:space="preserve"> Mindeststandards </w:t>
            </w:r>
            <w:r w:rsidR="00855F9D">
              <w:rPr>
                <w:sz w:val="24"/>
              </w:rPr>
              <w:t>für QM</w:t>
            </w:r>
            <w:r w:rsidR="00AD5EC3">
              <w:rPr>
                <w:sz w:val="24"/>
              </w:rPr>
              <w:t>&amp;RM</w:t>
            </w:r>
            <w:r w:rsidR="00855F9D">
              <w:rPr>
                <w:sz w:val="24"/>
              </w:rPr>
              <w:t xml:space="preserve"> in Tiroler Krankenanstalten.</w:t>
            </w:r>
          </w:p>
        </w:tc>
      </w:tr>
      <w:tr w:rsidR="00954BF6" w14:paraId="5A8CF97A" w14:textId="77777777" w:rsidTr="001B0C36">
        <w:tc>
          <w:tcPr>
            <w:tcW w:w="28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854D3C" w14:textId="77777777" w:rsidR="00954BF6" w:rsidRDefault="00954BF6" w:rsidP="00954BF6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CF0CBB0" w14:textId="42E1CA47" w:rsidR="004373AA" w:rsidRDefault="00177C7C" w:rsidP="00C044A4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Die im </w:t>
            </w:r>
            <w:r w:rsidR="00C044A4">
              <w:rPr>
                <w:sz w:val="24"/>
              </w:rPr>
              <w:t>Risiko</w:t>
            </w:r>
            <w:r>
              <w:rPr>
                <w:sz w:val="24"/>
              </w:rPr>
              <w:t xml:space="preserve">management tätigen </w:t>
            </w:r>
            <w:proofErr w:type="gramStart"/>
            <w:r>
              <w:rPr>
                <w:sz w:val="24"/>
              </w:rPr>
              <w:t>Mitarbeiter</w:t>
            </w:r>
            <w:r w:rsidR="00C044A4">
              <w:rPr>
                <w:sz w:val="24"/>
              </w:rPr>
              <w:t>:innen</w:t>
            </w:r>
            <w:proofErr w:type="gramEnd"/>
            <w:r>
              <w:rPr>
                <w:sz w:val="24"/>
              </w:rPr>
              <w:t xml:space="preserve"> qualifizieren sich kontinuierlich weiter.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CC3176B" w14:textId="3833F906" w:rsidR="00177C7C" w:rsidRDefault="0029277F" w:rsidP="00177C7C">
            <w:pPr>
              <w:pStyle w:val="KeinLeerraum"/>
              <w:numPr>
                <w:ilvl w:val="0"/>
                <w:numId w:val="3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QM&amp;</w:t>
            </w:r>
            <w:r w:rsidR="00C044A4">
              <w:rPr>
                <w:sz w:val="24"/>
              </w:rPr>
              <w:t>RM Plattform</w:t>
            </w:r>
            <w:r w:rsidR="00177C7C">
              <w:rPr>
                <w:sz w:val="24"/>
              </w:rPr>
              <w:t xml:space="preserve"> organisiere</w:t>
            </w:r>
            <w:r>
              <w:rPr>
                <w:sz w:val="24"/>
              </w:rPr>
              <w:t xml:space="preserve">n und deren Frequenz definieren </w:t>
            </w:r>
            <w:r w:rsidR="004965D0">
              <w:rPr>
                <w:sz w:val="24"/>
              </w:rPr>
              <w:t>– mindestens</w:t>
            </w:r>
            <w:r w:rsidR="00C044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zwei Mal jährlich </w:t>
            </w:r>
          </w:p>
          <w:p w14:paraId="13666713" w14:textId="6C32DD8B" w:rsidR="00177C7C" w:rsidRPr="00177C7C" w:rsidRDefault="00177C7C" w:rsidP="00177C7C">
            <w:pPr>
              <w:pStyle w:val="KeinLeerraum"/>
              <w:numPr>
                <w:ilvl w:val="0"/>
                <w:numId w:val="3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Tiroler </w:t>
            </w:r>
            <w:r w:rsidR="00C044A4">
              <w:rPr>
                <w:sz w:val="24"/>
              </w:rPr>
              <w:t>Qualitäts-</w:t>
            </w:r>
            <w:r w:rsidR="0029277F">
              <w:rPr>
                <w:sz w:val="24"/>
              </w:rPr>
              <w:t xml:space="preserve"> und </w:t>
            </w:r>
            <w:r w:rsidR="00C044A4">
              <w:rPr>
                <w:sz w:val="24"/>
              </w:rPr>
              <w:t>Risiko</w:t>
            </w:r>
            <w:r>
              <w:rPr>
                <w:sz w:val="24"/>
              </w:rPr>
              <w:t>tag in regelmäßigen Abständen organisieren</w:t>
            </w:r>
            <w:r w:rsidR="0029277F">
              <w:rPr>
                <w:sz w:val="24"/>
              </w:rPr>
              <w:t xml:space="preserve"> – alle zwei Jahre</w:t>
            </w:r>
          </w:p>
        </w:tc>
      </w:tr>
      <w:tr w:rsidR="00954BF6" w14:paraId="578C553F" w14:textId="77777777" w:rsidTr="001B0C36">
        <w:tc>
          <w:tcPr>
            <w:tcW w:w="280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4B9249" w14:textId="77777777" w:rsidR="00954BF6" w:rsidRDefault="00954BF6" w:rsidP="00954BF6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737F9FA" w14:textId="77777777" w:rsidR="00177C7C" w:rsidRDefault="00177C7C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Systematische Programme zur Fehler- und Risikoidentifizierung und -vermeidung sind etabliert.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97D9E40" w14:textId="1F20CBC4" w:rsidR="00177C7C" w:rsidRDefault="0029277F" w:rsidP="00177C7C">
            <w:pPr>
              <w:pStyle w:val="KeinLeerraum"/>
              <w:numPr>
                <w:ilvl w:val="0"/>
                <w:numId w:val="4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QM&amp;</w:t>
            </w:r>
            <w:r w:rsidR="00177C7C">
              <w:rPr>
                <w:sz w:val="24"/>
              </w:rPr>
              <w:t>RM-Systeme als Jahresschwerpunkt für das QFP definieren.</w:t>
            </w:r>
          </w:p>
          <w:p w14:paraId="332CBA18" w14:textId="59E1F7A1" w:rsidR="00177C7C" w:rsidRDefault="00177C7C" w:rsidP="00177C7C">
            <w:pPr>
              <w:pStyle w:val="KeinLeerraum"/>
              <w:numPr>
                <w:ilvl w:val="0"/>
                <w:numId w:val="4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Umsetzung des Mindeststandards</w:t>
            </w:r>
            <w:r w:rsidR="00EE1A6A">
              <w:rPr>
                <w:sz w:val="24"/>
              </w:rPr>
              <w:t xml:space="preserve"> </w:t>
            </w:r>
            <w:r w:rsidR="00AD5EC3">
              <w:rPr>
                <w:sz w:val="24"/>
              </w:rPr>
              <w:t xml:space="preserve">speziell zu den Punkten Medikationssicherheit </w:t>
            </w:r>
            <w:r w:rsidR="00EE1A6A">
              <w:rPr>
                <w:sz w:val="24"/>
              </w:rPr>
              <w:t>und</w:t>
            </w:r>
            <w:r w:rsidR="00AD5EC3">
              <w:rPr>
                <w:sz w:val="24"/>
              </w:rPr>
              <w:t xml:space="preserve"> normgerechtem Fehler- und Risikomanagement</w:t>
            </w:r>
            <w:r w:rsidR="0068053C">
              <w:rPr>
                <w:sz w:val="24"/>
              </w:rPr>
              <w:t>.</w:t>
            </w:r>
          </w:p>
          <w:p w14:paraId="55EBF113" w14:textId="64B05427" w:rsidR="00F44C1C" w:rsidRPr="00AD5EC3" w:rsidRDefault="00F44C1C" w:rsidP="005A2315">
            <w:pPr>
              <w:pStyle w:val="KeinLeerraum"/>
              <w:ind w:left="317"/>
              <w:rPr>
                <w:sz w:val="24"/>
              </w:rPr>
            </w:pPr>
          </w:p>
        </w:tc>
      </w:tr>
    </w:tbl>
    <w:p w14:paraId="2320B537" w14:textId="77777777" w:rsidR="005A2315" w:rsidRDefault="005A2315">
      <w:r>
        <w:br w:type="page"/>
      </w:r>
    </w:p>
    <w:tbl>
      <w:tblPr>
        <w:tblStyle w:val="Tabellenraster"/>
        <w:tblW w:w="14426" w:type="dxa"/>
        <w:tblLook w:val="04A0" w:firstRow="1" w:lastRow="0" w:firstColumn="1" w:lastColumn="0" w:noHBand="0" w:noVBand="1"/>
      </w:tblPr>
      <w:tblGrid>
        <w:gridCol w:w="2802"/>
        <w:gridCol w:w="5528"/>
        <w:gridCol w:w="6096"/>
      </w:tblGrid>
      <w:tr w:rsidR="00F44C1C" w14:paraId="4E0411E2" w14:textId="77777777" w:rsidTr="00F44C1C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86BD673" w14:textId="5B994CB5" w:rsidR="00F44C1C" w:rsidRPr="008F6ABB" w:rsidRDefault="00F44C1C" w:rsidP="00F44C1C">
            <w:pPr>
              <w:pStyle w:val="KeinLeerraum"/>
              <w:jc w:val="center"/>
              <w:rPr>
                <w:b/>
                <w:sz w:val="24"/>
              </w:rPr>
            </w:pPr>
            <w:r w:rsidRPr="004373AA">
              <w:rPr>
                <w:b/>
                <w:sz w:val="24"/>
              </w:rPr>
              <w:lastRenderedPageBreak/>
              <w:t>Strategisches Ziel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C0EB57F" w14:textId="7D179996" w:rsidR="00F44C1C" w:rsidRPr="00F44C1C" w:rsidRDefault="00F44C1C" w:rsidP="00F44C1C">
            <w:pPr>
              <w:pStyle w:val="KeinLeerraum"/>
              <w:jc w:val="center"/>
              <w:rPr>
                <w:b/>
                <w:sz w:val="24"/>
              </w:rPr>
            </w:pPr>
            <w:r w:rsidRPr="004373AA">
              <w:rPr>
                <w:b/>
                <w:sz w:val="24"/>
              </w:rPr>
              <w:t>Operatives Ziel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6B559A0F" w14:textId="0D6BFB05" w:rsidR="00F44C1C" w:rsidRPr="00F44C1C" w:rsidRDefault="00F44C1C" w:rsidP="00F44C1C">
            <w:pPr>
              <w:pStyle w:val="KeinLeerraum"/>
              <w:jc w:val="center"/>
              <w:rPr>
                <w:b/>
                <w:sz w:val="24"/>
              </w:rPr>
            </w:pPr>
            <w:r w:rsidRPr="004373AA">
              <w:rPr>
                <w:b/>
                <w:sz w:val="24"/>
              </w:rPr>
              <w:t>Maßnahmen</w:t>
            </w:r>
          </w:p>
        </w:tc>
      </w:tr>
      <w:tr w:rsidR="007B29BA" w14:paraId="43AFE6EC" w14:textId="77777777" w:rsidTr="00C92115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DAF2894" w14:textId="2F39A4B9" w:rsidR="007B29BA" w:rsidRDefault="007B29BA" w:rsidP="008F6ABB">
            <w:pPr>
              <w:pStyle w:val="KeinLeerraum"/>
              <w:spacing w:line="360" w:lineRule="auto"/>
              <w:jc w:val="center"/>
              <w:rPr>
                <w:sz w:val="24"/>
              </w:rPr>
            </w:pPr>
            <w:r w:rsidRPr="008F6ABB">
              <w:rPr>
                <w:b/>
                <w:sz w:val="24"/>
              </w:rPr>
              <w:t>Ziel 2:</w:t>
            </w:r>
            <w:r>
              <w:rPr>
                <w:sz w:val="24"/>
              </w:rPr>
              <w:t xml:space="preserve"> Alle Krankenanstalten verfügen ihrem Versorgungsauftrag entsprechend über ein angemessenes und vergleichbares prozessorientiertes </w:t>
            </w:r>
            <w:r w:rsidR="00AD5EC3">
              <w:rPr>
                <w:sz w:val="24"/>
              </w:rPr>
              <w:t>Q</w:t>
            </w:r>
            <w:r>
              <w:rPr>
                <w:sz w:val="24"/>
              </w:rPr>
              <w:t>M&amp;</w:t>
            </w:r>
            <w:r w:rsidR="00AD5EC3">
              <w:rPr>
                <w:sz w:val="24"/>
              </w:rPr>
              <w:t>R</w:t>
            </w:r>
            <w:r>
              <w:rPr>
                <w:sz w:val="24"/>
              </w:rPr>
              <w:t xml:space="preserve">M-System und entwickeln dieses kontinuierlich weiter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B495AE" w14:textId="77777777" w:rsidR="007B29BA" w:rsidRDefault="007B29BA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Die Weiterentwicklung der QM-Systeme der Tiroler KH, die sich an den Mindestanforderungen an QM-Systeme für Tiroler Krankenhäuser orientiert, wird beobachtet. 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1DED481" w14:textId="77777777" w:rsidR="007B29BA" w:rsidRDefault="007B29BA" w:rsidP="00822716">
            <w:pPr>
              <w:pStyle w:val="KeinLeerraum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Jährliche Evaluation der Mindestanforderungen mit Feedback an die Kollegialen Führungen der jeweiligen Häuser. </w:t>
            </w:r>
          </w:p>
          <w:p w14:paraId="1C8B3DB8" w14:textId="77777777" w:rsidR="007B29BA" w:rsidRDefault="007B29BA" w:rsidP="00822716">
            <w:pPr>
              <w:pStyle w:val="KeinLeerraum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Darstellung der Ergebnisse in einer Zeitreihe. </w:t>
            </w:r>
          </w:p>
          <w:p w14:paraId="24CB820E" w14:textId="77777777" w:rsidR="007B29BA" w:rsidRDefault="007B29BA" w:rsidP="00822716">
            <w:pPr>
              <w:pStyle w:val="KeinLeerraum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Definition von Problemfeldern.</w:t>
            </w:r>
          </w:p>
          <w:p w14:paraId="2E490E21" w14:textId="77777777" w:rsidR="007B29BA" w:rsidRPr="00822716" w:rsidRDefault="007B29BA" w:rsidP="00822716">
            <w:pPr>
              <w:pStyle w:val="KeinLeerraum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Förderung von Maßnahmen aus den Maßnahmenplänen der Häuser. </w:t>
            </w:r>
          </w:p>
        </w:tc>
      </w:tr>
      <w:tr w:rsidR="007B29BA" w14:paraId="3E497BE9" w14:textId="77777777" w:rsidTr="00C92115">
        <w:tc>
          <w:tcPr>
            <w:tcW w:w="280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4E3ACAE5" w14:textId="77777777" w:rsidR="007B29BA" w:rsidRDefault="007B29BA" w:rsidP="00954BF6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08680E4" w14:textId="77777777" w:rsidR="007B29BA" w:rsidRDefault="007B29BA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Prozesshaftes Handeln und Denken sind in den Tiroler Krankenhäuser etabliert.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30B9288" w14:textId="77777777" w:rsidR="007B29BA" w:rsidRDefault="007B29BA" w:rsidP="00822716">
            <w:pPr>
              <w:pStyle w:val="KeinLeerraum"/>
              <w:numPr>
                <w:ilvl w:val="0"/>
                <w:numId w:val="6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Prozessmanagementwerkzeuge (z.B. Adonis) fördern</w:t>
            </w:r>
          </w:p>
          <w:p w14:paraId="6E012DDD" w14:textId="77777777" w:rsidR="007B29BA" w:rsidRDefault="007B29BA" w:rsidP="00497BB2">
            <w:pPr>
              <w:pStyle w:val="KeinLeerraum"/>
              <w:ind w:left="-43"/>
              <w:rPr>
                <w:sz w:val="24"/>
              </w:rPr>
            </w:pPr>
          </w:p>
        </w:tc>
      </w:tr>
      <w:tr w:rsidR="007B29BA" w14:paraId="7C700582" w14:textId="77777777" w:rsidTr="00C92115">
        <w:tc>
          <w:tcPr>
            <w:tcW w:w="280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2E7A61CE" w14:textId="77777777" w:rsidR="007B29BA" w:rsidRDefault="007B29BA" w:rsidP="00954BF6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806E8CA" w14:textId="2A863443" w:rsidR="007B29BA" w:rsidRDefault="007B29BA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Die Verantwortung für Qualität wird in allen Führungsebenen gelebt.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C1D55C4" w14:textId="6647B339" w:rsidR="007B29BA" w:rsidRDefault="00AD5EC3" w:rsidP="00AD5EC3">
            <w:pPr>
              <w:pStyle w:val="KeinLeerraum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 xml:space="preserve">Regelmäßige, gemeinsame (QSK, Kollegiale Führung, Qualitätsmanagement) Reflexion der Jahresauswertung der </w:t>
            </w:r>
            <w:r w:rsidRPr="00754DF3">
              <w:rPr>
                <w:sz w:val="24"/>
              </w:rPr>
              <w:t xml:space="preserve">Mindeststandards für </w:t>
            </w:r>
            <w:r>
              <w:rPr>
                <w:sz w:val="24"/>
              </w:rPr>
              <w:t>RM&amp;</w:t>
            </w:r>
            <w:r w:rsidRPr="00754DF3">
              <w:rPr>
                <w:sz w:val="24"/>
              </w:rPr>
              <w:t>QM in Tiroler Krankenanstalten</w:t>
            </w:r>
            <w:r>
              <w:rPr>
                <w:sz w:val="24"/>
              </w:rPr>
              <w:t xml:space="preserve">  </w:t>
            </w:r>
          </w:p>
        </w:tc>
      </w:tr>
      <w:tr w:rsidR="007B29BA" w14:paraId="7C44BCD8" w14:textId="77777777" w:rsidTr="00C92115">
        <w:tc>
          <w:tcPr>
            <w:tcW w:w="280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5393D295" w14:textId="77777777" w:rsidR="007B29BA" w:rsidRDefault="007B29BA" w:rsidP="00954BF6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029317" w14:textId="7FC86991" w:rsidR="007B29BA" w:rsidRDefault="007B29BA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Vom QFP des Landes Tirol geförderte Projekte orientieren sich an den strategischen Zielen der Qualitätsförderungsstrategie 2030.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2D1C7F4" w14:textId="51701557" w:rsidR="007B29BA" w:rsidRDefault="007B29BA" w:rsidP="00497BB2">
            <w:pPr>
              <w:pStyle w:val="KeinLeerraum"/>
              <w:numPr>
                <w:ilvl w:val="0"/>
                <w:numId w:val="7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 w:rsidR="004965D0">
              <w:rPr>
                <w:sz w:val="24"/>
              </w:rPr>
              <w:t>300.000, -</w:t>
            </w:r>
            <w:r>
              <w:rPr>
                <w:sz w:val="24"/>
              </w:rPr>
              <w:t xml:space="preserve"> zur Förderung von qualitätsverbessernden Maßnahmen in Tiroler Fondskrankenanstalten im Rahmen des Qualitätsförderungsprogramms Tirol. </w:t>
            </w:r>
          </w:p>
          <w:p w14:paraId="79E53BDB" w14:textId="77777777" w:rsidR="007B29BA" w:rsidRDefault="007B29BA" w:rsidP="00497BB2">
            <w:pPr>
              <w:pStyle w:val="KeinLeerraum"/>
              <w:numPr>
                <w:ilvl w:val="0"/>
                <w:numId w:val="7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Definition von krankenhausübergreifenden Projekten durch die QSK</w:t>
            </w:r>
          </w:p>
          <w:p w14:paraId="64F09303" w14:textId="2A823FD3" w:rsidR="00F26711" w:rsidRDefault="00F26711" w:rsidP="00497BB2">
            <w:pPr>
              <w:pStyle w:val="KeinLeerraum"/>
              <w:numPr>
                <w:ilvl w:val="0"/>
                <w:numId w:val="7"/>
              </w:numPr>
              <w:ind w:left="317"/>
              <w:rPr>
                <w:sz w:val="24"/>
              </w:rPr>
            </w:pPr>
            <w:r w:rsidRPr="00F26711">
              <w:rPr>
                <w:sz w:val="24"/>
              </w:rPr>
              <w:t>Interprofessionalität und Nachhaltigkeit sind relevante Bewertungskriterien im QFP</w:t>
            </w:r>
          </w:p>
        </w:tc>
      </w:tr>
      <w:tr w:rsidR="007B29BA" w14:paraId="2661F69E" w14:textId="77777777" w:rsidTr="00C92115"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01667BDB" w14:textId="77777777" w:rsidR="007B29BA" w:rsidRDefault="007B29BA" w:rsidP="00954BF6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3AA4198" w14:textId="7221038C" w:rsidR="007B29BA" w:rsidRDefault="007B29BA" w:rsidP="00BE4EF7">
            <w:pPr>
              <w:pStyle w:val="KeinLeerraum"/>
              <w:rPr>
                <w:sz w:val="24"/>
              </w:rPr>
            </w:pPr>
            <w:r w:rsidRPr="00953988">
              <w:rPr>
                <w:sz w:val="24"/>
                <w:lang w:val="de-AT"/>
              </w:rPr>
              <w:t>Interdisziplinäre</w:t>
            </w:r>
            <w:r w:rsidR="00F26711">
              <w:rPr>
                <w:sz w:val="24"/>
                <w:lang w:val="de-AT"/>
              </w:rPr>
              <w:t xml:space="preserve"> und </w:t>
            </w:r>
            <w:r w:rsidR="004965D0">
              <w:rPr>
                <w:sz w:val="24"/>
                <w:lang w:val="de-AT"/>
              </w:rPr>
              <w:t xml:space="preserve">interprofessionelle </w:t>
            </w:r>
            <w:r w:rsidR="004965D0" w:rsidRPr="00953988">
              <w:rPr>
                <w:sz w:val="24"/>
                <w:lang w:val="de-AT"/>
              </w:rPr>
              <w:t>hausübergreifende</w:t>
            </w:r>
            <w:r w:rsidRPr="00953988">
              <w:rPr>
                <w:sz w:val="24"/>
                <w:lang w:val="de-AT"/>
              </w:rPr>
              <w:t xml:space="preserve"> Fortbildungen für klinisch tätige Personen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23AB8E3" w14:textId="77777777" w:rsidR="007B29BA" w:rsidRDefault="007B29BA" w:rsidP="00953988">
            <w:pPr>
              <w:pStyle w:val="KeinLeerraum"/>
              <w:numPr>
                <w:ilvl w:val="0"/>
                <w:numId w:val="12"/>
              </w:numPr>
              <w:rPr>
                <w:sz w:val="24"/>
              </w:rPr>
            </w:pPr>
            <w:r w:rsidRPr="00953988">
              <w:rPr>
                <w:sz w:val="24"/>
              </w:rPr>
              <w:t xml:space="preserve">Weitere Förderung </w:t>
            </w:r>
            <w:r w:rsidR="00F26711">
              <w:rPr>
                <w:sz w:val="24"/>
              </w:rPr>
              <w:t>des Kurses „Q</w:t>
            </w:r>
            <w:r>
              <w:rPr>
                <w:sz w:val="24"/>
              </w:rPr>
              <w:t>M&amp;</w:t>
            </w:r>
            <w:r w:rsidR="00F26711">
              <w:rPr>
                <w:sz w:val="24"/>
              </w:rPr>
              <w:t>R</w:t>
            </w:r>
            <w:r w:rsidRPr="00953988">
              <w:rPr>
                <w:sz w:val="24"/>
              </w:rPr>
              <w:t>M</w:t>
            </w:r>
            <w:r w:rsidR="00F26711">
              <w:rPr>
                <w:sz w:val="24"/>
              </w:rPr>
              <w:t xml:space="preserve"> Kompakt“</w:t>
            </w:r>
          </w:p>
          <w:p w14:paraId="52C077D6" w14:textId="77777777" w:rsidR="00F26711" w:rsidRDefault="00F26711" w:rsidP="00F26711">
            <w:pPr>
              <w:pStyle w:val="KeinLeerraum"/>
              <w:rPr>
                <w:sz w:val="24"/>
              </w:rPr>
            </w:pPr>
          </w:p>
          <w:p w14:paraId="590E2DEF" w14:textId="77777777" w:rsidR="00F26711" w:rsidRDefault="00F26711" w:rsidP="00F26711">
            <w:pPr>
              <w:pStyle w:val="KeinLeerraum"/>
              <w:rPr>
                <w:sz w:val="24"/>
              </w:rPr>
            </w:pPr>
          </w:p>
          <w:p w14:paraId="751F7EDC" w14:textId="77777777" w:rsidR="00F26711" w:rsidRDefault="00F26711" w:rsidP="00F26711">
            <w:pPr>
              <w:pStyle w:val="KeinLeerraum"/>
              <w:rPr>
                <w:sz w:val="24"/>
              </w:rPr>
            </w:pPr>
          </w:p>
          <w:p w14:paraId="6A89FED9" w14:textId="77777777" w:rsidR="00F26711" w:rsidRDefault="00F26711" w:rsidP="00F26711">
            <w:pPr>
              <w:pStyle w:val="KeinLeerraum"/>
              <w:rPr>
                <w:sz w:val="24"/>
              </w:rPr>
            </w:pPr>
          </w:p>
          <w:p w14:paraId="5534803A" w14:textId="77777777" w:rsidR="00F26711" w:rsidRDefault="00F26711" w:rsidP="00F26711">
            <w:pPr>
              <w:pStyle w:val="KeinLeerraum"/>
              <w:rPr>
                <w:sz w:val="24"/>
              </w:rPr>
            </w:pPr>
          </w:p>
          <w:p w14:paraId="45A35789" w14:textId="1824C209" w:rsidR="00F26711" w:rsidRDefault="00F26711" w:rsidP="00F26711">
            <w:pPr>
              <w:pStyle w:val="KeinLeerraum"/>
              <w:rPr>
                <w:sz w:val="24"/>
              </w:rPr>
            </w:pPr>
          </w:p>
        </w:tc>
      </w:tr>
    </w:tbl>
    <w:p w14:paraId="5555C714" w14:textId="77777777" w:rsidR="005A2315" w:rsidRDefault="005A2315">
      <w:r>
        <w:br w:type="page"/>
      </w:r>
    </w:p>
    <w:tbl>
      <w:tblPr>
        <w:tblStyle w:val="Tabellenraster"/>
        <w:tblW w:w="14426" w:type="dxa"/>
        <w:jc w:val="center"/>
        <w:tblLook w:val="04A0" w:firstRow="1" w:lastRow="0" w:firstColumn="1" w:lastColumn="0" w:noHBand="0" w:noVBand="1"/>
      </w:tblPr>
      <w:tblGrid>
        <w:gridCol w:w="2802"/>
        <w:gridCol w:w="5528"/>
        <w:gridCol w:w="6096"/>
      </w:tblGrid>
      <w:tr w:rsidR="00F44C1C" w14:paraId="7A8CF1D2" w14:textId="77777777" w:rsidTr="005A2315">
        <w:trPr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F9981AA" w14:textId="38D4C351" w:rsidR="00F44C1C" w:rsidRPr="000A3429" w:rsidRDefault="00F44C1C" w:rsidP="00F44C1C">
            <w:pPr>
              <w:pStyle w:val="KeinLeerraum"/>
              <w:jc w:val="center"/>
              <w:rPr>
                <w:b/>
                <w:sz w:val="24"/>
              </w:rPr>
            </w:pPr>
            <w:r w:rsidRPr="004373AA">
              <w:rPr>
                <w:b/>
                <w:sz w:val="24"/>
              </w:rPr>
              <w:lastRenderedPageBreak/>
              <w:t>Strategisches Ziel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F105B14" w14:textId="583B2E81" w:rsidR="00F44C1C" w:rsidRDefault="00F44C1C" w:rsidP="00F44C1C">
            <w:pPr>
              <w:pStyle w:val="KeinLeerraum"/>
              <w:rPr>
                <w:sz w:val="24"/>
              </w:rPr>
            </w:pPr>
            <w:r w:rsidRPr="004373AA">
              <w:rPr>
                <w:b/>
                <w:sz w:val="24"/>
              </w:rPr>
              <w:t>Operatives Ziel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61830613" w14:textId="7173F0FD" w:rsidR="00F44C1C" w:rsidRDefault="00F44C1C" w:rsidP="00F44C1C">
            <w:pPr>
              <w:pStyle w:val="KeinLeerraum"/>
              <w:ind w:left="317"/>
              <w:rPr>
                <w:sz w:val="24"/>
              </w:rPr>
            </w:pPr>
            <w:r w:rsidRPr="004373AA">
              <w:rPr>
                <w:b/>
                <w:sz w:val="24"/>
              </w:rPr>
              <w:t>Maßnahmen</w:t>
            </w:r>
          </w:p>
        </w:tc>
      </w:tr>
      <w:tr w:rsidR="000A3429" w14:paraId="59790B07" w14:textId="77777777" w:rsidTr="005A2315">
        <w:trPr>
          <w:jc w:val="center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0D93BD" w14:textId="77777777" w:rsidR="000A3429" w:rsidRDefault="000A3429" w:rsidP="000A3429">
            <w:pPr>
              <w:pStyle w:val="KeinLeerraum"/>
              <w:spacing w:line="360" w:lineRule="auto"/>
              <w:jc w:val="center"/>
              <w:rPr>
                <w:sz w:val="24"/>
              </w:rPr>
            </w:pPr>
            <w:r w:rsidRPr="000A3429">
              <w:rPr>
                <w:b/>
                <w:sz w:val="24"/>
              </w:rPr>
              <w:t>Ziel 3:</w:t>
            </w:r>
            <w:r>
              <w:rPr>
                <w:sz w:val="24"/>
              </w:rPr>
              <w:t xml:space="preserve"> Alle Krankenanstalten sind bzgl. Ihres Qualitätsmanagement-Systems untereinander und mit dem TGF vernetzt.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7E9C1CE" w14:textId="77777777" w:rsidR="000A3429" w:rsidRDefault="000A3429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Der TGF fördert aktiv die Zusammenarbeit zwischen den in den betreffenden QM-Systemen tätigen Vertretern der Krankenhäuser. 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514A531" w14:textId="77777777" w:rsidR="00F26711" w:rsidRDefault="00F26711" w:rsidP="00F26711">
            <w:pPr>
              <w:pStyle w:val="KeinLeerraum"/>
              <w:rPr>
                <w:sz w:val="24"/>
              </w:rPr>
            </w:pPr>
          </w:p>
          <w:p w14:paraId="45D0466B" w14:textId="77777777" w:rsidR="00F26711" w:rsidRDefault="00F26711" w:rsidP="00F26711">
            <w:pPr>
              <w:pStyle w:val="KeinLeerraum"/>
              <w:numPr>
                <w:ilvl w:val="0"/>
                <w:numId w:val="9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QM&amp;RM-Plattform</w:t>
            </w:r>
          </w:p>
          <w:p w14:paraId="009D5CAE" w14:textId="52011D88" w:rsidR="000A3429" w:rsidRDefault="004965D0" w:rsidP="00BE4EF7">
            <w:pPr>
              <w:pStyle w:val="KeinLeerraum"/>
              <w:numPr>
                <w:ilvl w:val="0"/>
                <w:numId w:val="9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ABS-Plattform</w:t>
            </w:r>
            <w:r w:rsidR="00953988">
              <w:rPr>
                <w:sz w:val="24"/>
              </w:rPr>
              <w:t xml:space="preserve"> --&gt; neues Konzept nach Etablierung AUTAC</w:t>
            </w:r>
          </w:p>
          <w:p w14:paraId="2FF9244D" w14:textId="393FE50E" w:rsidR="000A3429" w:rsidRDefault="000A3429" w:rsidP="00BE4EF7">
            <w:pPr>
              <w:pStyle w:val="KeinLeerraum"/>
              <w:numPr>
                <w:ilvl w:val="0"/>
                <w:numId w:val="9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Hygieneplattform</w:t>
            </w:r>
            <w:r w:rsidR="00953988">
              <w:rPr>
                <w:sz w:val="24"/>
              </w:rPr>
              <w:t xml:space="preserve">- Zusammenführung der ABS- und Hygieneplattform mit einem neuen Konzept </w:t>
            </w:r>
          </w:p>
          <w:p w14:paraId="03F27472" w14:textId="77777777" w:rsidR="000A3429" w:rsidRDefault="000A3429" w:rsidP="00BE4EF7">
            <w:pPr>
              <w:pStyle w:val="KeinLeerraum"/>
              <w:numPr>
                <w:ilvl w:val="0"/>
                <w:numId w:val="9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Treffen der ärztlichen DirektorInnen</w:t>
            </w:r>
          </w:p>
          <w:p w14:paraId="0531CE42" w14:textId="77777777" w:rsidR="000A3429" w:rsidRDefault="000A3429" w:rsidP="00BE4EF7">
            <w:pPr>
              <w:pStyle w:val="KeinLeerraum"/>
              <w:numPr>
                <w:ilvl w:val="0"/>
                <w:numId w:val="9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QSK des Landes Tirol</w:t>
            </w:r>
          </w:p>
          <w:p w14:paraId="62C277C1" w14:textId="1224EA98" w:rsidR="000A3429" w:rsidRDefault="000A3429" w:rsidP="00F26711">
            <w:pPr>
              <w:pStyle w:val="KeinLeerraum"/>
              <w:numPr>
                <w:ilvl w:val="0"/>
                <w:numId w:val="9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Tiroler </w:t>
            </w:r>
            <w:r w:rsidR="00F26711">
              <w:rPr>
                <w:sz w:val="24"/>
              </w:rPr>
              <w:t xml:space="preserve">Qualitäts- </w:t>
            </w:r>
            <w:r w:rsidR="00F44C1C">
              <w:rPr>
                <w:sz w:val="24"/>
              </w:rPr>
              <w:t xml:space="preserve">und </w:t>
            </w:r>
            <w:r w:rsidR="00F26711">
              <w:rPr>
                <w:sz w:val="24"/>
              </w:rPr>
              <w:t>Risiko</w:t>
            </w:r>
            <w:r>
              <w:rPr>
                <w:sz w:val="24"/>
              </w:rPr>
              <w:t>tag</w:t>
            </w:r>
          </w:p>
        </w:tc>
      </w:tr>
      <w:tr w:rsidR="000A3429" w14:paraId="570D26DC" w14:textId="77777777" w:rsidTr="005A2315">
        <w:trPr>
          <w:jc w:val="center"/>
        </w:trPr>
        <w:tc>
          <w:tcPr>
            <w:tcW w:w="28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E623365" w14:textId="77777777" w:rsidR="000A3429" w:rsidRDefault="000A3429" w:rsidP="00954BF6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5A8781" w14:textId="77777777" w:rsidR="000A3429" w:rsidRDefault="000A3429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Erfolgreiche Qualitätsverbesserungsprojekte werden von anderen Tiroler Krankenhäusern übernommen.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101CA19E" w14:textId="77777777" w:rsidR="000A3429" w:rsidRDefault="000A3429" w:rsidP="00BE4EF7">
            <w:pPr>
              <w:pStyle w:val="KeinLeerraum"/>
              <w:numPr>
                <w:ilvl w:val="0"/>
                <w:numId w:val="10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Förderung des Transfers im Rahmen des QFP</w:t>
            </w:r>
          </w:p>
          <w:p w14:paraId="63CA3208" w14:textId="77777777" w:rsidR="00F26711" w:rsidRDefault="00F26711" w:rsidP="00F26711">
            <w:pPr>
              <w:pStyle w:val="KeinLeerraum"/>
              <w:numPr>
                <w:ilvl w:val="0"/>
                <w:numId w:val="10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Veröffentlichung der Projektberichte des QFP auf der Website des Landes </w:t>
            </w:r>
          </w:p>
          <w:p w14:paraId="140D233A" w14:textId="3C2D83F0" w:rsidR="00F26711" w:rsidRDefault="00F26711" w:rsidP="00F26711">
            <w:pPr>
              <w:pStyle w:val="KeinLeerraum"/>
              <w:numPr>
                <w:ilvl w:val="0"/>
                <w:numId w:val="10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>Präsentation von Leuchtturmprojekten am Qualitäts- und Risikotag</w:t>
            </w:r>
          </w:p>
        </w:tc>
      </w:tr>
      <w:tr w:rsidR="000A3429" w14:paraId="215F8100" w14:textId="77777777" w:rsidTr="005A2315">
        <w:trPr>
          <w:jc w:val="center"/>
        </w:trPr>
        <w:tc>
          <w:tcPr>
            <w:tcW w:w="280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E32BCA4" w14:textId="77777777" w:rsidR="000A3429" w:rsidRDefault="000A3429" w:rsidP="00954BF6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B7B8FFB" w14:textId="77777777" w:rsidR="000A3429" w:rsidRDefault="000A3429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Die Tiroler KH arbeiten in Qualitätsverbesserungsprojekten zusammen.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E4F770F" w14:textId="77777777" w:rsidR="000A3429" w:rsidRDefault="000A3429" w:rsidP="000A3429">
            <w:pPr>
              <w:pStyle w:val="KeinLeerraum"/>
              <w:numPr>
                <w:ilvl w:val="0"/>
                <w:numId w:val="10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Förderung von gemeinsamen Projekten mehrerer Häuser im Rahmen des QFP </w:t>
            </w:r>
          </w:p>
          <w:p w14:paraId="00FE7F67" w14:textId="35026913" w:rsidR="00703A8B" w:rsidRDefault="00F44C1C" w:rsidP="00703A8B">
            <w:pPr>
              <w:pStyle w:val="KeinLeerraum"/>
              <w:numPr>
                <w:ilvl w:val="0"/>
                <w:numId w:val="10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Förderung </w:t>
            </w:r>
            <w:r w:rsidR="000A3429">
              <w:rPr>
                <w:sz w:val="24"/>
              </w:rPr>
              <w:t>von KH-übergreifenden Fortbildungs- und Trainingsmaßnahmen (</w:t>
            </w:r>
            <w:r w:rsidR="00703A8B">
              <w:rPr>
                <w:sz w:val="24"/>
              </w:rPr>
              <w:t>z.B.</w:t>
            </w:r>
            <w:r w:rsidR="000A3429">
              <w:rPr>
                <w:sz w:val="24"/>
              </w:rPr>
              <w:t xml:space="preserve"> E-</w:t>
            </w:r>
            <w:r w:rsidR="00703A8B">
              <w:rPr>
                <w:sz w:val="24"/>
              </w:rPr>
              <w:t>L</w:t>
            </w:r>
            <w:r w:rsidR="000A3429">
              <w:rPr>
                <w:sz w:val="24"/>
              </w:rPr>
              <w:t>earning</w:t>
            </w:r>
            <w:r w:rsidR="00703A8B">
              <w:rPr>
                <w:sz w:val="24"/>
              </w:rPr>
              <w:t>, …</w:t>
            </w:r>
            <w:r w:rsidR="000A3429">
              <w:rPr>
                <w:sz w:val="24"/>
              </w:rPr>
              <w:t>)</w:t>
            </w:r>
          </w:p>
          <w:p w14:paraId="2FCB3290" w14:textId="56E7DD70" w:rsidR="00F44C1C" w:rsidRDefault="00F44C1C" w:rsidP="00F532F2">
            <w:pPr>
              <w:pStyle w:val="KeinLeerraum"/>
              <w:rPr>
                <w:sz w:val="24"/>
              </w:rPr>
            </w:pPr>
          </w:p>
        </w:tc>
      </w:tr>
    </w:tbl>
    <w:p w14:paraId="4403DB7C" w14:textId="77777777" w:rsidR="00F532F2" w:rsidRDefault="00F532F2">
      <w:r>
        <w:br w:type="page"/>
      </w:r>
    </w:p>
    <w:tbl>
      <w:tblPr>
        <w:tblStyle w:val="Tabellenraster"/>
        <w:tblW w:w="14426" w:type="dxa"/>
        <w:jc w:val="center"/>
        <w:tblLook w:val="04A0" w:firstRow="1" w:lastRow="0" w:firstColumn="1" w:lastColumn="0" w:noHBand="0" w:noVBand="1"/>
      </w:tblPr>
      <w:tblGrid>
        <w:gridCol w:w="2802"/>
        <w:gridCol w:w="5528"/>
        <w:gridCol w:w="6096"/>
      </w:tblGrid>
      <w:tr w:rsidR="00F44C1C" w14:paraId="612A3861" w14:textId="77777777" w:rsidTr="005A2315">
        <w:trPr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120765E5" w14:textId="3D676E6B" w:rsidR="00F44C1C" w:rsidRPr="001B0C36" w:rsidRDefault="00F44C1C" w:rsidP="00F44C1C">
            <w:pPr>
              <w:pStyle w:val="KeinLeerraum"/>
              <w:jc w:val="center"/>
              <w:rPr>
                <w:b/>
                <w:sz w:val="24"/>
              </w:rPr>
            </w:pPr>
            <w:r w:rsidRPr="004373AA">
              <w:rPr>
                <w:b/>
                <w:sz w:val="24"/>
              </w:rPr>
              <w:lastRenderedPageBreak/>
              <w:t>Strategisches Ziel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0DCC960" w14:textId="37767011" w:rsidR="00F44C1C" w:rsidRDefault="00F44C1C" w:rsidP="00F44C1C">
            <w:pPr>
              <w:pStyle w:val="KeinLeerraum"/>
              <w:jc w:val="center"/>
              <w:rPr>
                <w:sz w:val="24"/>
              </w:rPr>
            </w:pPr>
            <w:r w:rsidRPr="004373AA">
              <w:rPr>
                <w:b/>
                <w:sz w:val="24"/>
              </w:rPr>
              <w:t>Operatives Ziel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712630C7" w14:textId="55B61411" w:rsidR="00F44C1C" w:rsidRDefault="00F44C1C" w:rsidP="00F44C1C">
            <w:pPr>
              <w:pStyle w:val="KeinLeerraum"/>
              <w:ind w:left="317"/>
              <w:jc w:val="center"/>
              <w:rPr>
                <w:sz w:val="24"/>
              </w:rPr>
            </w:pPr>
            <w:r w:rsidRPr="004373AA">
              <w:rPr>
                <w:b/>
                <w:sz w:val="24"/>
              </w:rPr>
              <w:t>Maßnahmen</w:t>
            </w:r>
          </w:p>
        </w:tc>
      </w:tr>
      <w:tr w:rsidR="001B0C36" w14:paraId="64ABB32B" w14:textId="77777777" w:rsidTr="005A2315">
        <w:trPr>
          <w:jc w:val="center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E4A9CD" w14:textId="4D03B12E" w:rsidR="001B0C36" w:rsidRDefault="001B0C36" w:rsidP="00F44C1C">
            <w:pPr>
              <w:pStyle w:val="KeinLeerraum"/>
              <w:spacing w:line="360" w:lineRule="auto"/>
              <w:jc w:val="center"/>
              <w:rPr>
                <w:sz w:val="24"/>
              </w:rPr>
            </w:pPr>
            <w:r w:rsidRPr="001B0C36">
              <w:rPr>
                <w:b/>
                <w:sz w:val="24"/>
              </w:rPr>
              <w:t>Ziel 4:</w:t>
            </w:r>
            <w:r>
              <w:rPr>
                <w:sz w:val="24"/>
              </w:rPr>
              <w:t xml:space="preserve"> Der TGF bietet den Kran</w:t>
            </w:r>
            <w:r w:rsidR="00F44C1C">
              <w:rPr>
                <w:sz w:val="24"/>
              </w:rPr>
              <w:t>kenanstalten Orientierungshilfe</w:t>
            </w:r>
            <w:r>
              <w:rPr>
                <w:sz w:val="24"/>
              </w:rPr>
              <w:t xml:space="preserve"> zur Qualitätsentwicklung.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52FE48" w14:textId="77777777" w:rsidR="001B0C36" w:rsidRDefault="001B0C36" w:rsidP="00BE4EF7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Die Mindestanforderungen an QM-Systeme für Tiroler Krankenhäuser werden kontinuierlich weiterentwickelt. 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F1DDB4" w14:textId="0F863A2E" w:rsidR="001B0C36" w:rsidRPr="00266C8D" w:rsidRDefault="00126FB7" w:rsidP="00266C8D">
            <w:pPr>
              <w:pStyle w:val="Listenabsatz"/>
              <w:numPr>
                <w:ilvl w:val="0"/>
                <w:numId w:val="14"/>
              </w:numPr>
              <w:rPr>
                <w:sz w:val="24"/>
              </w:rPr>
            </w:pPr>
            <w:r w:rsidRPr="00126FB7">
              <w:rPr>
                <w:sz w:val="24"/>
              </w:rPr>
              <w:t>Mindeststandards</w:t>
            </w:r>
            <w:r w:rsidR="001B0C36" w:rsidRPr="00126FB7">
              <w:rPr>
                <w:sz w:val="24"/>
              </w:rPr>
              <w:t xml:space="preserve"> für QM-Systeme für Tiroler Krankenhäuser werden rege</w:t>
            </w:r>
            <w:r w:rsidRPr="00126FB7">
              <w:rPr>
                <w:sz w:val="24"/>
              </w:rPr>
              <w:t xml:space="preserve">lmäßig evaluiert und adaptiert mit jährliche Schwerpunktsetzung </w:t>
            </w:r>
          </w:p>
          <w:p w14:paraId="1CDD588F" w14:textId="702F3534" w:rsidR="00703A8B" w:rsidRDefault="001B0C36" w:rsidP="000A3429">
            <w:pPr>
              <w:pStyle w:val="KeinLeerraum"/>
              <w:numPr>
                <w:ilvl w:val="0"/>
                <w:numId w:val="10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Der TGF </w:t>
            </w:r>
            <w:r w:rsidR="00BF7736">
              <w:rPr>
                <w:sz w:val="24"/>
              </w:rPr>
              <w:t xml:space="preserve">wertet regelmäßig </w:t>
            </w:r>
            <w:r w:rsidR="00BD04A8">
              <w:rPr>
                <w:sz w:val="24"/>
              </w:rPr>
              <w:t>qualitätsrelevante</w:t>
            </w:r>
            <w:r>
              <w:rPr>
                <w:sz w:val="24"/>
              </w:rPr>
              <w:t xml:space="preserve"> Parameter</w:t>
            </w:r>
            <w:r w:rsidR="00BF7736">
              <w:rPr>
                <w:sz w:val="24"/>
              </w:rPr>
              <w:t xml:space="preserve"> aus der ihm zur Verfügung stehenden Datengrundlage aus.</w:t>
            </w:r>
            <w:r>
              <w:rPr>
                <w:sz w:val="24"/>
              </w:rPr>
              <w:t xml:space="preserve"> </w:t>
            </w:r>
          </w:p>
          <w:p w14:paraId="15D34285" w14:textId="78B23166" w:rsidR="001B0C36" w:rsidRDefault="00703A8B" w:rsidP="00266C8D">
            <w:pPr>
              <w:pStyle w:val="KeinLeerraum"/>
              <w:numPr>
                <w:ilvl w:val="0"/>
                <w:numId w:val="10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Reflexion qualitätsrelevanter </w:t>
            </w:r>
            <w:r w:rsidR="00BF7736">
              <w:rPr>
                <w:sz w:val="24"/>
              </w:rPr>
              <w:t xml:space="preserve">Parameter </w:t>
            </w:r>
          </w:p>
        </w:tc>
      </w:tr>
      <w:tr w:rsidR="001B0C36" w14:paraId="423FCEBF" w14:textId="77777777" w:rsidTr="005A2315">
        <w:trPr>
          <w:jc w:val="center"/>
        </w:trPr>
        <w:tc>
          <w:tcPr>
            <w:tcW w:w="280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056412" w14:textId="77777777" w:rsidR="001B0C36" w:rsidRDefault="001B0C36" w:rsidP="00954BF6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DCCC26" w14:textId="6AE72B88" w:rsidR="001B0C36" w:rsidRDefault="001B0C36" w:rsidP="00F44C1C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Die</w:t>
            </w:r>
            <w:r w:rsidR="00F44C1C">
              <w:rPr>
                <w:sz w:val="24"/>
              </w:rPr>
              <w:t xml:space="preserve"> aufbereiteten qualitätsrelevanten Daten </w:t>
            </w:r>
            <w:r>
              <w:rPr>
                <w:sz w:val="24"/>
              </w:rPr>
              <w:t xml:space="preserve">werden </w:t>
            </w:r>
            <w:r w:rsidR="00F44C1C">
              <w:rPr>
                <w:sz w:val="24"/>
              </w:rPr>
              <w:t xml:space="preserve">den Krankenhäusern zur Verfügung gestellt.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03A78E" w14:textId="0280644F" w:rsidR="001B0C36" w:rsidRDefault="001B0C36" w:rsidP="000A3429">
            <w:pPr>
              <w:pStyle w:val="KeinLeerraum"/>
              <w:numPr>
                <w:ilvl w:val="0"/>
                <w:numId w:val="10"/>
              </w:numPr>
              <w:ind w:left="317"/>
              <w:rPr>
                <w:sz w:val="24"/>
              </w:rPr>
            </w:pPr>
            <w:r>
              <w:rPr>
                <w:sz w:val="24"/>
              </w:rPr>
              <w:t xml:space="preserve">Jährliche </w:t>
            </w:r>
            <w:r w:rsidR="00F44C1C">
              <w:rPr>
                <w:sz w:val="24"/>
              </w:rPr>
              <w:t xml:space="preserve">Erhebung und Auswertung </w:t>
            </w:r>
            <w:r>
              <w:rPr>
                <w:sz w:val="24"/>
              </w:rPr>
              <w:t>der Mindeststandards</w:t>
            </w:r>
          </w:p>
        </w:tc>
      </w:tr>
    </w:tbl>
    <w:p w14:paraId="41CF5FBA" w14:textId="77777777" w:rsidR="00F532F2" w:rsidRDefault="00F532F2">
      <w:r>
        <w:br w:type="page"/>
      </w:r>
    </w:p>
    <w:tbl>
      <w:tblPr>
        <w:tblStyle w:val="Tabellenraster"/>
        <w:tblW w:w="14426" w:type="dxa"/>
        <w:jc w:val="center"/>
        <w:tblLook w:val="04A0" w:firstRow="1" w:lastRow="0" w:firstColumn="1" w:lastColumn="0" w:noHBand="0" w:noVBand="1"/>
      </w:tblPr>
      <w:tblGrid>
        <w:gridCol w:w="2802"/>
        <w:gridCol w:w="5528"/>
        <w:gridCol w:w="6096"/>
      </w:tblGrid>
      <w:tr w:rsidR="00F44C1C" w14:paraId="7E4D3432" w14:textId="77777777" w:rsidTr="005A2315">
        <w:trPr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</w:tcPr>
          <w:p w14:paraId="3F295B16" w14:textId="6307EB01" w:rsidR="00F44C1C" w:rsidRPr="001B0C36" w:rsidRDefault="00F44C1C" w:rsidP="007F297A">
            <w:pPr>
              <w:pStyle w:val="KeinLeerraum"/>
              <w:jc w:val="center"/>
              <w:rPr>
                <w:b/>
                <w:sz w:val="24"/>
              </w:rPr>
            </w:pPr>
            <w:r w:rsidRPr="004373AA">
              <w:rPr>
                <w:b/>
                <w:sz w:val="24"/>
              </w:rPr>
              <w:lastRenderedPageBreak/>
              <w:t>Strategisches Ziel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shd w:val="clear" w:color="auto" w:fill="00B0F0"/>
          </w:tcPr>
          <w:p w14:paraId="30982A7E" w14:textId="77777777" w:rsidR="00F44C1C" w:rsidRDefault="00F44C1C" w:rsidP="007F297A">
            <w:pPr>
              <w:pStyle w:val="KeinLeerraum"/>
              <w:jc w:val="center"/>
              <w:rPr>
                <w:sz w:val="24"/>
              </w:rPr>
            </w:pPr>
            <w:r w:rsidRPr="004373AA">
              <w:rPr>
                <w:b/>
                <w:sz w:val="24"/>
              </w:rPr>
              <w:t>Operatives Ziel</w:t>
            </w:r>
          </w:p>
        </w:tc>
        <w:tc>
          <w:tcPr>
            <w:tcW w:w="60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</w:tcPr>
          <w:p w14:paraId="58A2F2E6" w14:textId="77777777" w:rsidR="00F44C1C" w:rsidRDefault="00F44C1C" w:rsidP="007F297A">
            <w:pPr>
              <w:pStyle w:val="KeinLeerraum"/>
              <w:ind w:left="317"/>
              <w:jc w:val="center"/>
              <w:rPr>
                <w:sz w:val="24"/>
              </w:rPr>
            </w:pPr>
            <w:r w:rsidRPr="004373AA">
              <w:rPr>
                <w:b/>
                <w:sz w:val="24"/>
              </w:rPr>
              <w:t>Maßnahmen</w:t>
            </w:r>
          </w:p>
        </w:tc>
      </w:tr>
      <w:tr w:rsidR="00F44C1C" w14:paraId="70253F1C" w14:textId="77777777" w:rsidTr="005A2315">
        <w:trPr>
          <w:jc w:val="center"/>
        </w:trPr>
        <w:tc>
          <w:tcPr>
            <w:tcW w:w="2802" w:type="dxa"/>
            <w:vMerge w:val="restart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16419D83" w14:textId="77777777" w:rsidR="005A2315" w:rsidRDefault="005A2315" w:rsidP="004965D0">
            <w:pPr>
              <w:pStyle w:val="KeinLeerraum"/>
              <w:spacing w:line="360" w:lineRule="auto"/>
              <w:jc w:val="center"/>
              <w:rPr>
                <w:b/>
                <w:sz w:val="24"/>
              </w:rPr>
            </w:pPr>
          </w:p>
          <w:p w14:paraId="72D86FC7" w14:textId="56C31D23" w:rsidR="00F44C1C" w:rsidRDefault="00F44C1C" w:rsidP="004965D0">
            <w:pPr>
              <w:pStyle w:val="KeinLeerraum"/>
              <w:spacing w:line="360" w:lineRule="auto"/>
              <w:jc w:val="center"/>
              <w:rPr>
                <w:sz w:val="24"/>
              </w:rPr>
            </w:pPr>
            <w:r w:rsidRPr="008C3B5A">
              <w:rPr>
                <w:b/>
                <w:sz w:val="24"/>
              </w:rPr>
              <w:t>Ziel 5:</w:t>
            </w:r>
            <w:r w:rsidRPr="008C3B5A">
              <w:rPr>
                <w:sz w:val="24"/>
              </w:rPr>
              <w:t xml:space="preserve"> </w:t>
            </w:r>
            <w:r w:rsidR="008C3B5A" w:rsidRPr="008C3B5A">
              <w:rPr>
                <w:sz w:val="24"/>
              </w:rPr>
              <w:t>Der TGF fördert die Krankenanstalten bei der Einführung, Etablierung und Harmonisierung von digitalen Anwendungen und KI-Instrumenten, soweit sie den Vorgaben des QFP</w:t>
            </w:r>
            <w:r w:rsidR="004965D0">
              <w:rPr>
                <w:sz w:val="24"/>
              </w:rPr>
              <w:t>*</w:t>
            </w:r>
            <w:r w:rsidR="008C3B5A" w:rsidRPr="008C3B5A">
              <w:rPr>
                <w:sz w:val="24"/>
              </w:rPr>
              <w:t xml:space="preserve"> entsprechen.</w:t>
            </w:r>
          </w:p>
        </w:tc>
        <w:tc>
          <w:tcPr>
            <w:tcW w:w="5528" w:type="dxa"/>
            <w:shd w:val="clear" w:color="auto" w:fill="E5DFEC" w:themeFill="accent4" w:themeFillTint="33"/>
          </w:tcPr>
          <w:p w14:paraId="15BAB9F3" w14:textId="47D989E6" w:rsidR="00FD63B7" w:rsidRPr="00FD63B7" w:rsidRDefault="00FD63B7" w:rsidP="00FD63B7">
            <w:pPr>
              <w:pStyle w:val="KeinLeerraum"/>
              <w:rPr>
                <w:sz w:val="24"/>
              </w:rPr>
            </w:pPr>
            <w:r w:rsidRPr="00FD63B7">
              <w:rPr>
                <w:sz w:val="24"/>
              </w:rPr>
              <w:t>Standardisierte Einführung sicherer digitaler Anwendungen und KI-Instrumente</w:t>
            </w:r>
          </w:p>
          <w:p w14:paraId="74450AD1" w14:textId="6CB5D6D5" w:rsidR="00F44C1C" w:rsidRDefault="00F44C1C" w:rsidP="007F297A">
            <w:pPr>
              <w:pStyle w:val="KeinLeerraum"/>
              <w:rPr>
                <w:sz w:val="24"/>
              </w:rPr>
            </w:pPr>
          </w:p>
        </w:tc>
        <w:tc>
          <w:tcPr>
            <w:tcW w:w="6096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24404FB5" w14:textId="730AF210" w:rsidR="00F44C1C" w:rsidRPr="00FD63B7" w:rsidRDefault="00FD63B7" w:rsidP="004965D0">
            <w:pPr>
              <w:pStyle w:val="KeinLeerraum"/>
              <w:numPr>
                <w:ilvl w:val="0"/>
                <w:numId w:val="10"/>
              </w:numPr>
              <w:ind w:left="330" w:hanging="330"/>
              <w:rPr>
                <w:sz w:val="24"/>
              </w:rPr>
            </w:pPr>
            <w:r w:rsidRPr="00FD63B7">
              <w:rPr>
                <w:sz w:val="24"/>
              </w:rPr>
              <w:t>Förderung der Entwicklung und Bereitstellung von Leitfäden zur Implementierung digitaler Anwendungen und KI-Instrumente</w:t>
            </w:r>
          </w:p>
          <w:p w14:paraId="54CF3300" w14:textId="77777777" w:rsidR="00FD63B7" w:rsidRPr="00FD63B7" w:rsidRDefault="00FD63B7" w:rsidP="004965D0">
            <w:pPr>
              <w:pStyle w:val="KeinLeerraum"/>
              <w:numPr>
                <w:ilvl w:val="0"/>
                <w:numId w:val="10"/>
              </w:numPr>
              <w:ind w:left="330" w:hanging="330"/>
              <w:rPr>
                <w:sz w:val="24"/>
              </w:rPr>
            </w:pPr>
            <w:r w:rsidRPr="00FD63B7">
              <w:rPr>
                <w:sz w:val="24"/>
              </w:rPr>
              <w:t>Förderung der Durchführung von regelmäßigen Schulungen und Workshops für IT- und medizinisches Personal zur sicheren Anwendung und Integration neuer Technologien</w:t>
            </w:r>
          </w:p>
          <w:p w14:paraId="54A8F0A8" w14:textId="4BE61A29" w:rsidR="00FD63B7" w:rsidRDefault="00FD63B7" w:rsidP="00FD63B7">
            <w:pPr>
              <w:pStyle w:val="KeinLeerraum"/>
              <w:ind w:left="720"/>
              <w:rPr>
                <w:sz w:val="24"/>
              </w:rPr>
            </w:pPr>
          </w:p>
        </w:tc>
      </w:tr>
      <w:tr w:rsidR="00F44C1C" w14:paraId="0A9E452A" w14:textId="77777777" w:rsidTr="005A2315">
        <w:trPr>
          <w:jc w:val="center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5FF30C75" w14:textId="77777777" w:rsidR="00F44C1C" w:rsidRDefault="00F44C1C" w:rsidP="007F297A">
            <w:pPr>
              <w:pStyle w:val="KeinLeerraum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228A92C6" w14:textId="119BF330" w:rsidR="004965D0" w:rsidRPr="004965D0" w:rsidRDefault="004965D0" w:rsidP="004965D0">
            <w:pPr>
              <w:pStyle w:val="KeinLeerraum"/>
              <w:rPr>
                <w:sz w:val="24"/>
              </w:rPr>
            </w:pPr>
            <w:r w:rsidRPr="004965D0">
              <w:rPr>
                <w:sz w:val="24"/>
              </w:rPr>
              <w:t>Förderung der Interoperabilität und Harmonisierung digitaler Systeme</w:t>
            </w:r>
          </w:p>
          <w:p w14:paraId="0A31C4F1" w14:textId="0811DE77" w:rsidR="00787F6B" w:rsidRDefault="00787F6B" w:rsidP="007F297A">
            <w:pPr>
              <w:pStyle w:val="KeinLeerraum"/>
              <w:rPr>
                <w:sz w:val="24"/>
              </w:rPr>
            </w:pPr>
          </w:p>
        </w:tc>
        <w:tc>
          <w:tcPr>
            <w:tcW w:w="60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0598754F" w14:textId="77777777" w:rsidR="004965D0" w:rsidRPr="004965D0" w:rsidRDefault="004965D0" w:rsidP="004965D0">
            <w:pPr>
              <w:pStyle w:val="KeinLeerraum"/>
              <w:numPr>
                <w:ilvl w:val="0"/>
                <w:numId w:val="10"/>
              </w:numPr>
              <w:ind w:left="330" w:hanging="330"/>
              <w:rPr>
                <w:sz w:val="24"/>
              </w:rPr>
            </w:pPr>
            <w:r w:rsidRPr="004965D0">
              <w:rPr>
                <w:sz w:val="24"/>
              </w:rPr>
              <w:t>Förderung von Pilotprojekten zur Vernetzung und Harmonisierung verschiedener Krankenhäuser und zur Integration von Telemedizin- und KI-Anwendungen in bestehende Systeme (z.B. ELGA, elektronische Patientenakte)</w:t>
            </w:r>
          </w:p>
          <w:p w14:paraId="34465E59" w14:textId="6197611B" w:rsidR="00DA4110" w:rsidRDefault="00DA4110" w:rsidP="004965D0">
            <w:pPr>
              <w:pStyle w:val="KeinLeerraum"/>
              <w:ind w:left="720"/>
              <w:rPr>
                <w:sz w:val="24"/>
              </w:rPr>
            </w:pPr>
          </w:p>
        </w:tc>
      </w:tr>
    </w:tbl>
    <w:p w14:paraId="24EB5F43" w14:textId="208CE90A" w:rsidR="00954BF6" w:rsidRDefault="004965D0" w:rsidP="004965D0">
      <w:pPr>
        <w:pStyle w:val="KeinLeerraum"/>
        <w:spacing w:line="360" w:lineRule="auto"/>
        <w:jc w:val="both"/>
        <w:rPr>
          <w:sz w:val="24"/>
        </w:rPr>
      </w:pPr>
      <w:r>
        <w:rPr>
          <w:sz w:val="24"/>
        </w:rPr>
        <w:t>* Nicht-Ziel</w:t>
      </w:r>
      <w:r w:rsidR="00B85FF1">
        <w:rPr>
          <w:sz w:val="24"/>
        </w:rPr>
        <w:t xml:space="preserve">: </w:t>
      </w:r>
      <w:r>
        <w:rPr>
          <w:sz w:val="24"/>
        </w:rPr>
        <w:t xml:space="preserve">„Förderung der Kosten für die Anschaffung von Software“ </w:t>
      </w:r>
    </w:p>
    <w:p w14:paraId="4E156B6A" w14:textId="77777777" w:rsidR="008C3B5A" w:rsidRDefault="008C3B5A" w:rsidP="00954BF6">
      <w:pPr>
        <w:pStyle w:val="KeinLeerraum"/>
        <w:spacing w:line="360" w:lineRule="auto"/>
        <w:jc w:val="both"/>
        <w:rPr>
          <w:sz w:val="24"/>
        </w:rPr>
      </w:pPr>
    </w:p>
    <w:p w14:paraId="2D874864" w14:textId="77777777" w:rsidR="008C3B5A" w:rsidRDefault="008C3B5A" w:rsidP="00954BF6">
      <w:pPr>
        <w:pStyle w:val="KeinLeerraum"/>
        <w:spacing w:line="360" w:lineRule="auto"/>
        <w:jc w:val="both"/>
        <w:rPr>
          <w:sz w:val="24"/>
        </w:rPr>
      </w:pPr>
    </w:p>
    <w:sectPr w:rsidR="008C3B5A" w:rsidSect="004373A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7C5D" w14:textId="77777777" w:rsidR="002A5378" w:rsidRDefault="002A5378" w:rsidP="000C3804">
      <w:pPr>
        <w:spacing w:after="0" w:line="240" w:lineRule="auto"/>
      </w:pPr>
      <w:r>
        <w:separator/>
      </w:r>
    </w:p>
  </w:endnote>
  <w:endnote w:type="continuationSeparator" w:id="0">
    <w:p w14:paraId="2FA466CB" w14:textId="77777777" w:rsidR="002A5378" w:rsidRDefault="002A5378" w:rsidP="000C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4294039"/>
      <w:docPartObj>
        <w:docPartGallery w:val="Page Numbers (Bottom of Page)"/>
        <w:docPartUnique/>
      </w:docPartObj>
    </w:sdtPr>
    <w:sdtEndPr/>
    <w:sdtContent>
      <w:p w14:paraId="750D0FE2" w14:textId="6B980DE7" w:rsidR="000C3804" w:rsidRDefault="000C380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38D">
          <w:rPr>
            <w:noProof/>
          </w:rPr>
          <w:t>4</w:t>
        </w:r>
        <w:r>
          <w:fldChar w:fldCharType="end"/>
        </w:r>
      </w:p>
    </w:sdtContent>
  </w:sdt>
  <w:p w14:paraId="73DC5F81" w14:textId="77777777" w:rsidR="000C3804" w:rsidRDefault="000C38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6D00" w14:textId="77777777" w:rsidR="002A5378" w:rsidRDefault="002A5378" w:rsidP="000C3804">
      <w:pPr>
        <w:spacing w:after="0" w:line="240" w:lineRule="auto"/>
      </w:pPr>
      <w:r>
        <w:separator/>
      </w:r>
    </w:p>
  </w:footnote>
  <w:footnote w:type="continuationSeparator" w:id="0">
    <w:p w14:paraId="6F2D02D5" w14:textId="77777777" w:rsidR="002A5378" w:rsidRDefault="002A5378" w:rsidP="000C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705D"/>
    <w:multiLevelType w:val="hybridMultilevel"/>
    <w:tmpl w:val="C09A5F0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2BF3"/>
    <w:multiLevelType w:val="hybridMultilevel"/>
    <w:tmpl w:val="83BAF8CC"/>
    <w:lvl w:ilvl="0" w:tplc="0C07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D4377D7"/>
    <w:multiLevelType w:val="hybridMultilevel"/>
    <w:tmpl w:val="6B14419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255E5"/>
    <w:multiLevelType w:val="hybridMultilevel"/>
    <w:tmpl w:val="DDCA1CC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B6A11"/>
    <w:multiLevelType w:val="hybridMultilevel"/>
    <w:tmpl w:val="A5E491B8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B2048"/>
    <w:multiLevelType w:val="hybridMultilevel"/>
    <w:tmpl w:val="5FF6B3E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22EA"/>
    <w:multiLevelType w:val="hybridMultilevel"/>
    <w:tmpl w:val="67F80C06"/>
    <w:lvl w:ilvl="0" w:tplc="4D02A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53E25"/>
    <w:multiLevelType w:val="hybridMultilevel"/>
    <w:tmpl w:val="8AB821B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064C2"/>
    <w:multiLevelType w:val="hybridMultilevel"/>
    <w:tmpl w:val="2B1E9CE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7223B"/>
    <w:multiLevelType w:val="hybridMultilevel"/>
    <w:tmpl w:val="DD84D1B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94C7E"/>
    <w:multiLevelType w:val="hybridMultilevel"/>
    <w:tmpl w:val="B6CE9D0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D5974"/>
    <w:multiLevelType w:val="hybridMultilevel"/>
    <w:tmpl w:val="EEB8C30E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86234"/>
    <w:multiLevelType w:val="hybridMultilevel"/>
    <w:tmpl w:val="A10CC9D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F7C50"/>
    <w:multiLevelType w:val="hybridMultilevel"/>
    <w:tmpl w:val="A32A148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C72B4"/>
    <w:multiLevelType w:val="multilevel"/>
    <w:tmpl w:val="7F62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93B10"/>
    <w:multiLevelType w:val="hybridMultilevel"/>
    <w:tmpl w:val="B5086C5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31C6B"/>
    <w:multiLevelType w:val="hybridMultilevel"/>
    <w:tmpl w:val="CE366530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A81843"/>
    <w:multiLevelType w:val="hybridMultilevel"/>
    <w:tmpl w:val="DC02D89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82771">
    <w:abstractNumId w:val="9"/>
  </w:num>
  <w:num w:numId="2" w16cid:durableId="1860654766">
    <w:abstractNumId w:val="17"/>
  </w:num>
  <w:num w:numId="3" w16cid:durableId="16199058">
    <w:abstractNumId w:val="3"/>
  </w:num>
  <w:num w:numId="4" w16cid:durableId="2139059718">
    <w:abstractNumId w:val="5"/>
  </w:num>
  <w:num w:numId="5" w16cid:durableId="882788553">
    <w:abstractNumId w:val="8"/>
  </w:num>
  <w:num w:numId="6" w16cid:durableId="1375344727">
    <w:abstractNumId w:val="15"/>
  </w:num>
  <w:num w:numId="7" w16cid:durableId="1121262571">
    <w:abstractNumId w:val="2"/>
  </w:num>
  <w:num w:numId="8" w16cid:durableId="77138792">
    <w:abstractNumId w:val="13"/>
  </w:num>
  <w:num w:numId="9" w16cid:durableId="764224687">
    <w:abstractNumId w:val="0"/>
  </w:num>
  <w:num w:numId="10" w16cid:durableId="843469821">
    <w:abstractNumId w:val="7"/>
  </w:num>
  <w:num w:numId="11" w16cid:durableId="1892187363">
    <w:abstractNumId w:val="1"/>
  </w:num>
  <w:num w:numId="12" w16cid:durableId="1614166973">
    <w:abstractNumId w:val="16"/>
  </w:num>
  <w:num w:numId="13" w16cid:durableId="818107040">
    <w:abstractNumId w:val="4"/>
  </w:num>
  <w:num w:numId="14" w16cid:durableId="462428346">
    <w:abstractNumId w:val="11"/>
  </w:num>
  <w:num w:numId="15" w16cid:durableId="129448226">
    <w:abstractNumId w:val="14"/>
  </w:num>
  <w:num w:numId="16" w16cid:durableId="371460765">
    <w:abstractNumId w:val="12"/>
  </w:num>
  <w:num w:numId="17" w16cid:durableId="2060400131">
    <w:abstractNumId w:val="10"/>
  </w:num>
  <w:num w:numId="18" w16cid:durableId="1595357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F6"/>
    <w:rsid w:val="000A3429"/>
    <w:rsid w:val="000A36D4"/>
    <w:rsid w:val="000C3804"/>
    <w:rsid w:val="000E1142"/>
    <w:rsid w:val="001067F3"/>
    <w:rsid w:val="00126FB7"/>
    <w:rsid w:val="0017756A"/>
    <w:rsid w:val="00177C7C"/>
    <w:rsid w:val="001B0C36"/>
    <w:rsid w:val="001E594E"/>
    <w:rsid w:val="0022311F"/>
    <w:rsid w:val="002554A2"/>
    <w:rsid w:val="00266C8D"/>
    <w:rsid w:val="0029277F"/>
    <w:rsid w:val="002A5378"/>
    <w:rsid w:val="0035613E"/>
    <w:rsid w:val="00430CD3"/>
    <w:rsid w:val="004373AA"/>
    <w:rsid w:val="004965D0"/>
    <w:rsid w:val="00497BB2"/>
    <w:rsid w:val="004C7305"/>
    <w:rsid w:val="0056528B"/>
    <w:rsid w:val="005A2315"/>
    <w:rsid w:val="005F351C"/>
    <w:rsid w:val="00617D3A"/>
    <w:rsid w:val="0068053C"/>
    <w:rsid w:val="00682E0D"/>
    <w:rsid w:val="00703A8B"/>
    <w:rsid w:val="00754DF3"/>
    <w:rsid w:val="00780E85"/>
    <w:rsid w:val="00787F6B"/>
    <w:rsid w:val="007B29BA"/>
    <w:rsid w:val="00817ED8"/>
    <w:rsid w:val="00822716"/>
    <w:rsid w:val="00855F9D"/>
    <w:rsid w:val="008C3B5A"/>
    <w:rsid w:val="008F5A99"/>
    <w:rsid w:val="008F6ABB"/>
    <w:rsid w:val="00953988"/>
    <w:rsid w:val="00954BF6"/>
    <w:rsid w:val="0096357A"/>
    <w:rsid w:val="00982D4D"/>
    <w:rsid w:val="00AD5EC3"/>
    <w:rsid w:val="00B85FF1"/>
    <w:rsid w:val="00BA1613"/>
    <w:rsid w:val="00BB3C26"/>
    <w:rsid w:val="00BD04A8"/>
    <w:rsid w:val="00BE4EF7"/>
    <w:rsid w:val="00BF7736"/>
    <w:rsid w:val="00C044A4"/>
    <w:rsid w:val="00C53362"/>
    <w:rsid w:val="00D048AB"/>
    <w:rsid w:val="00D05C44"/>
    <w:rsid w:val="00D36AC5"/>
    <w:rsid w:val="00D84F72"/>
    <w:rsid w:val="00DA4110"/>
    <w:rsid w:val="00DB738D"/>
    <w:rsid w:val="00DD1920"/>
    <w:rsid w:val="00EB7A7F"/>
    <w:rsid w:val="00EC2DE1"/>
    <w:rsid w:val="00EC5E59"/>
    <w:rsid w:val="00EE1A6A"/>
    <w:rsid w:val="00EF357F"/>
    <w:rsid w:val="00F111E5"/>
    <w:rsid w:val="00F1160A"/>
    <w:rsid w:val="00F26711"/>
    <w:rsid w:val="00F44C1C"/>
    <w:rsid w:val="00F50043"/>
    <w:rsid w:val="00F532F2"/>
    <w:rsid w:val="00FC61C5"/>
    <w:rsid w:val="00FD63B7"/>
    <w:rsid w:val="00F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1803"/>
  <w15:docId w15:val="{7E353EB4-DEB9-4F8F-A526-0FDDCDAA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3B5A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4BF6"/>
    <w:pPr>
      <w:spacing w:after="0" w:line="240" w:lineRule="auto"/>
    </w:pPr>
    <w:rPr>
      <w:lang w:val="de-DE"/>
    </w:rPr>
  </w:style>
  <w:style w:type="table" w:styleId="Tabellenraster">
    <w:name w:val="Table Grid"/>
    <w:basedOn w:val="NormaleTabelle"/>
    <w:uiPriority w:val="59"/>
    <w:rsid w:val="0095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C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80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C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804"/>
    <w:rPr>
      <w:lang w:val="de-DE"/>
    </w:rPr>
  </w:style>
  <w:style w:type="paragraph" w:styleId="Listenabsatz">
    <w:name w:val="List Paragraph"/>
    <w:basedOn w:val="Standard"/>
    <w:uiPriority w:val="34"/>
    <w:qFormat/>
    <w:rsid w:val="0012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996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LIST Adrian</dc:creator>
  <cp:lastModifiedBy>VAN APPELDORN Ulrike</cp:lastModifiedBy>
  <cp:revision>4</cp:revision>
  <dcterms:created xsi:type="dcterms:W3CDTF">2026-01-15T07:35:00Z</dcterms:created>
  <dcterms:modified xsi:type="dcterms:W3CDTF">2026-01-15T07:37:00Z</dcterms:modified>
</cp:coreProperties>
</file>